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5B80" w:rsidRDefault="00E85B80" w:rsidP="00E85B80">
      <w:pPr>
        <w:spacing w:line="360" w:lineRule="auto"/>
        <w:jc w:val="center"/>
        <w:rPr>
          <w:rFonts w:asciiTheme="majorBidi" w:hAnsiTheme="majorBidi" w:cstheme="majorBidi"/>
          <w:sz w:val="28"/>
          <w:szCs w:val="28"/>
        </w:rPr>
      </w:pPr>
      <w:r w:rsidRPr="00E85B80">
        <w:rPr>
          <w:rFonts w:asciiTheme="majorBidi" w:hAnsiTheme="majorBidi" w:cstheme="majorBidi"/>
          <w:sz w:val="28"/>
          <w:szCs w:val="28"/>
        </w:rPr>
        <w:t>Sustainable Urban Development: under the Prospects of CPEC</w:t>
      </w:r>
    </w:p>
    <w:p w:rsidR="00E85B80" w:rsidRPr="00E85B80" w:rsidRDefault="00E85B80" w:rsidP="00E85B80">
      <w:pPr>
        <w:spacing w:line="360" w:lineRule="auto"/>
        <w:jc w:val="center"/>
        <w:rPr>
          <w:rFonts w:asciiTheme="majorBidi" w:hAnsiTheme="majorBidi" w:cstheme="majorBidi"/>
          <w:sz w:val="24"/>
          <w:szCs w:val="24"/>
        </w:rPr>
      </w:pPr>
      <w:r w:rsidRPr="00E85B80">
        <w:rPr>
          <w:rFonts w:asciiTheme="majorBidi" w:hAnsiTheme="majorBidi" w:cstheme="majorBidi"/>
          <w:sz w:val="24"/>
          <w:szCs w:val="24"/>
        </w:rPr>
        <w:t xml:space="preserve">By: </w:t>
      </w:r>
      <w:proofErr w:type="spellStart"/>
      <w:r w:rsidRPr="00E85B80">
        <w:rPr>
          <w:rFonts w:asciiTheme="majorBidi" w:hAnsiTheme="majorBidi" w:cstheme="majorBidi"/>
          <w:sz w:val="24"/>
          <w:szCs w:val="24"/>
        </w:rPr>
        <w:t>Abdur</w:t>
      </w:r>
      <w:proofErr w:type="spellEnd"/>
      <w:r>
        <w:rPr>
          <w:rFonts w:asciiTheme="majorBidi" w:hAnsiTheme="majorBidi" w:cstheme="majorBidi"/>
          <w:sz w:val="24"/>
          <w:szCs w:val="24"/>
        </w:rPr>
        <w:t xml:space="preserve"> Ra</w:t>
      </w:r>
      <w:bookmarkStart w:id="0" w:name="_GoBack"/>
      <w:bookmarkEnd w:id="0"/>
      <w:r w:rsidRPr="00E85B80">
        <w:rPr>
          <w:rFonts w:asciiTheme="majorBidi" w:hAnsiTheme="majorBidi" w:cstheme="majorBidi"/>
          <w:sz w:val="24"/>
          <w:szCs w:val="24"/>
        </w:rPr>
        <w:t>hman</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Urbanizations is increasing progressively due to high tendency of people towards better standard of living. Urbanization has the potential to change the economics and social condition of a country. Urbanization helps in achieving the higher economic growth through including the most deprived strata of population in a country (ADB, 2011). Another aspect of urbanization that helps in increasing the development process of a nation is sustainable urbanization. Sustainable urbanization is the process of developing such urban centers that not only add to the national growth and contemporaneously not compromising on the future generations. Sustainability incorporates the economic growth in line with keeping the environment clean, optimal resource exploitation and social welfare (Mustafa, 2016). Being important part of sustainable growth, inclusive urban development is very important determinant of sustainable urban development. So, the study in hand will try to explore various inclusive urban development practices under the new prospective urban development under China Pakistan Economic Corridor.</w:t>
      </w:r>
    </w:p>
    <w:p w:rsidR="00F356E5" w:rsidRPr="0019051C" w:rsidRDefault="00F356E5" w:rsidP="00F356E5">
      <w:pPr>
        <w:autoSpaceDE w:val="0"/>
        <w:autoSpaceDN w:val="0"/>
        <w:adjustRightInd w:val="0"/>
        <w:spacing w:after="0"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Currently, Pakistan is facing numerous problems regarding urbanization. They could be counted as high population growth, high urban migration rates, high population density, lack of municipal management, lack of industrial effluents management, etc. These all cause the degraded resources such as congested roads, poor water and sanitation, overcrowded health and education facilities, huge unemployment. And in turn, all these indicators make urbanization highly unsustainable in Pakistan. </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China Pakistan economic corridor (CPEC) is the game changer for the region bringing economic growth, foreign direct investment (FDI), employment, political and regional integration, culture diversification and various other social, economic, political and environmental changes in the region. It has 3 routes namely the western, central and eastern routes. Its central and western routes are less populated and highly rich in natural resources. Along eastern route, there is majority number of urban centers having high population density of 264 persons per square Kilometer which is even higher than the population density of China. Major urban centers are Lahore, Faisalabad and Gujranwala which are highly congested and have overburdened resources. All the routes are estimated to bear high Burdon of some additional citizens with CPEC. While western </w:t>
      </w:r>
      <w:r w:rsidRPr="0019051C">
        <w:rPr>
          <w:rFonts w:asciiTheme="majorBidi" w:hAnsiTheme="majorBidi" w:cstheme="majorBidi"/>
          <w:sz w:val="24"/>
          <w:szCs w:val="24"/>
        </w:rPr>
        <w:lastRenderedPageBreak/>
        <w:t xml:space="preserve">route is less densely populated and has high potential of hosting planned urban centers and they may help in reducing the pressure on resources of eastern route urban centers. </w:t>
      </w:r>
    </w:p>
    <w:p w:rsidR="00F356E5" w:rsidRPr="0019051C" w:rsidRDefault="00F356E5" w:rsidP="00F356E5">
      <w:pPr>
        <w:spacing w:line="360" w:lineRule="auto"/>
        <w:jc w:val="both"/>
        <w:rPr>
          <w:rFonts w:asciiTheme="majorBidi" w:hAnsiTheme="majorBidi" w:cstheme="majorBidi"/>
          <w:sz w:val="24"/>
          <w:szCs w:val="24"/>
        </w:rPr>
      </w:pPr>
    </w:p>
    <w:p w:rsidR="00F356E5" w:rsidRPr="0019051C" w:rsidRDefault="00F356E5" w:rsidP="00F356E5">
      <w:pPr>
        <w:spacing w:line="360" w:lineRule="auto"/>
        <w:jc w:val="both"/>
        <w:rPr>
          <w:rFonts w:asciiTheme="majorBidi" w:hAnsiTheme="majorBidi" w:cstheme="majorBidi"/>
          <w:sz w:val="24"/>
          <w:szCs w:val="24"/>
        </w:rPr>
      </w:pPr>
      <w:bookmarkStart w:id="1" w:name="_Hlk494792590"/>
      <w:r w:rsidRPr="0019051C">
        <w:rPr>
          <w:rFonts w:asciiTheme="majorBidi" w:hAnsiTheme="majorBidi" w:cstheme="majorBidi"/>
          <w:sz w:val="24"/>
          <w:szCs w:val="24"/>
        </w:rPr>
        <w:t>Pakistan, such resettlement regularly practices for a better standard of living way, such a change bringing about an expansion in urban development. The urban population growth rate was 4.4% conducted in the 1972 and 1981 census at the same period the rural population growth rate was 2.6%. continuously increase in the urban population, percent of the total population goes up to 32.52% in the 1998 census which was 18% in 1951 and 28% in 1981. Since the independence Pakistan faced 35% growth rate is estimated in the urban population in Pakistan (</w:t>
      </w:r>
      <w:proofErr w:type="spellStart"/>
      <w:r w:rsidRPr="0019051C">
        <w:rPr>
          <w:rFonts w:asciiTheme="majorBidi" w:hAnsiTheme="majorBidi" w:cstheme="majorBidi"/>
          <w:sz w:val="24"/>
          <w:szCs w:val="24"/>
        </w:rPr>
        <w:t>Bahrawar</w:t>
      </w:r>
      <w:proofErr w:type="spellEnd"/>
      <w:r w:rsidRPr="0019051C">
        <w:rPr>
          <w:rFonts w:asciiTheme="majorBidi" w:hAnsiTheme="majorBidi" w:cstheme="majorBidi"/>
          <w:sz w:val="24"/>
          <w:szCs w:val="24"/>
        </w:rPr>
        <w:t>, 2008; population projection by NIPS 2000). The truth of the matter is, not at all like different nations Pakistan has the unequal distribution of the population in the urban zones, the substantial urban areas are especially contrasting from each other in population proportion. The reason is better environmental and Economic conditions of the urban areas.</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the idea of the sustainable urban development first come into sight and developed when the western economies were struggling with massive urbanization and environmental consequences in 1970s, International development finance club (IDFC, 2014). While this issue gained more dominance recently when researcher all over the world give stress upon controlling climate change and rapid urban growth and population</w:t>
      </w:r>
      <w:bookmarkEnd w:id="1"/>
      <w:r w:rsidRPr="0019051C">
        <w:rPr>
          <w:rFonts w:asciiTheme="majorBidi" w:hAnsiTheme="majorBidi" w:cstheme="majorBidi"/>
          <w:sz w:val="24"/>
          <w:szCs w:val="24"/>
        </w:rPr>
        <w:t xml:space="preserve">. inventive ideas are required in developing urban communities to lessen the impact on the environment. While creating new cities and urban development that increment the social harmony, or Hastening the human relationship requiring knowledge, health and standard of living of the residence of the nation should be the sole interest behind urban development. The public private collaboration and technological progress and efficient use of the resources will help to realize these goals. </w:t>
      </w:r>
    </w:p>
    <w:p w:rsidR="00F356E5" w:rsidRPr="0019051C" w:rsidRDefault="00F356E5" w:rsidP="00F356E5">
      <w:pPr>
        <w:spacing w:line="360" w:lineRule="auto"/>
        <w:jc w:val="both"/>
        <w:rPr>
          <w:rFonts w:asciiTheme="majorBidi" w:hAnsiTheme="majorBidi" w:cstheme="majorBidi"/>
          <w:sz w:val="28"/>
          <w:szCs w:val="28"/>
        </w:rPr>
      </w:pPr>
      <w:r w:rsidRPr="0019051C">
        <w:rPr>
          <w:rFonts w:asciiTheme="majorBidi" w:hAnsiTheme="majorBidi" w:cstheme="majorBidi"/>
          <w:sz w:val="28"/>
          <w:szCs w:val="28"/>
        </w:rPr>
        <w:t>Four elements of sustainable development</w:t>
      </w:r>
      <w:r>
        <w:rPr>
          <w:rFonts w:asciiTheme="majorBidi" w:hAnsiTheme="majorBidi" w:cstheme="majorBidi"/>
          <w:sz w:val="28"/>
          <w:szCs w:val="28"/>
        </w:rPr>
        <w:t>:</w:t>
      </w:r>
    </w:p>
    <w:p w:rsidR="00F356E5" w:rsidRPr="0019051C" w:rsidRDefault="00F356E5" w:rsidP="00F356E5">
      <w:pPr>
        <w:pStyle w:val="ListParagraph"/>
        <w:numPr>
          <w:ilvl w:val="0"/>
          <w:numId w:val="1"/>
        </w:num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Social sustainability: Means to alleviate the poverty and increase the social wellbeing of residence </w:t>
      </w:r>
    </w:p>
    <w:p w:rsidR="00F356E5" w:rsidRPr="0019051C" w:rsidRDefault="00F356E5" w:rsidP="00F356E5">
      <w:pPr>
        <w:pStyle w:val="ListParagraph"/>
        <w:numPr>
          <w:ilvl w:val="0"/>
          <w:numId w:val="1"/>
        </w:num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Economic sustainability: Use of resources which satisfy the needs of current generation without compromising the future needs </w:t>
      </w:r>
    </w:p>
    <w:p w:rsidR="00F356E5" w:rsidRPr="0019051C" w:rsidRDefault="00F356E5" w:rsidP="00F356E5">
      <w:pPr>
        <w:pStyle w:val="ListParagraph"/>
        <w:numPr>
          <w:ilvl w:val="0"/>
          <w:numId w:val="1"/>
        </w:numPr>
        <w:spacing w:line="360" w:lineRule="auto"/>
        <w:jc w:val="both"/>
        <w:rPr>
          <w:rFonts w:asciiTheme="majorBidi" w:hAnsiTheme="majorBidi" w:cstheme="majorBidi"/>
          <w:sz w:val="24"/>
          <w:szCs w:val="24"/>
        </w:rPr>
      </w:pPr>
      <w:r w:rsidRPr="0019051C">
        <w:rPr>
          <w:rFonts w:asciiTheme="majorBidi" w:hAnsiTheme="majorBidi" w:cstheme="majorBidi"/>
          <w:sz w:val="24"/>
          <w:szCs w:val="24"/>
        </w:rPr>
        <w:lastRenderedPageBreak/>
        <w:t>Political sustainability: Law and order, security, the collaboration of central and local government an inclusive approach to the political wellbeing of the society.</w:t>
      </w:r>
    </w:p>
    <w:p w:rsidR="00F356E5" w:rsidRDefault="00F356E5" w:rsidP="00F356E5">
      <w:pPr>
        <w:pStyle w:val="ListParagraph"/>
        <w:numPr>
          <w:ilvl w:val="0"/>
          <w:numId w:val="1"/>
        </w:num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Environmental sustainability: maintaining natural resource capital provide inputs to the economy and the absorber or output in the form of wastes. Means the environmental output and inputs must be equal, the output shouldn’t exceed the inputs </w:t>
      </w:r>
    </w:p>
    <w:p w:rsidR="00F356E5" w:rsidRPr="002403B5" w:rsidRDefault="00F356E5" w:rsidP="00F356E5">
      <w:pPr>
        <w:spacing w:line="360" w:lineRule="auto"/>
        <w:ind w:left="60"/>
        <w:jc w:val="both"/>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0F600E11" wp14:editId="73085041">
            <wp:extent cx="5486400" cy="3200400"/>
            <wp:effectExtent l="0" t="0" r="0" b="571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rsidR="00F356E5" w:rsidRPr="0019051C" w:rsidRDefault="00F356E5" w:rsidP="00F356E5">
      <w:pPr>
        <w:spacing w:line="360" w:lineRule="auto"/>
        <w:ind w:left="60"/>
        <w:jc w:val="both"/>
        <w:rPr>
          <w:rFonts w:asciiTheme="majorBidi" w:hAnsiTheme="majorBidi" w:cstheme="majorBidi"/>
          <w:sz w:val="24"/>
          <w:szCs w:val="24"/>
        </w:rPr>
      </w:pPr>
      <w:r w:rsidRPr="0019051C">
        <w:rPr>
          <w:rFonts w:asciiTheme="majorBidi" w:hAnsiTheme="majorBidi" w:cstheme="majorBidi"/>
          <w:sz w:val="24"/>
          <w:szCs w:val="24"/>
        </w:rPr>
        <w:t xml:space="preserve">features of sustainable development providing a guideline for the policy makers. A checklist for every development process as it should be sustainable. The concept of sustainable development also can be </w:t>
      </w:r>
      <w:proofErr w:type="gramStart"/>
      <w:r w:rsidRPr="0019051C">
        <w:rPr>
          <w:rFonts w:asciiTheme="majorBidi" w:hAnsiTheme="majorBidi" w:cstheme="majorBidi"/>
          <w:sz w:val="24"/>
          <w:szCs w:val="24"/>
        </w:rPr>
        <w:t>implement</w:t>
      </w:r>
      <w:proofErr w:type="gramEnd"/>
      <w:r w:rsidRPr="0019051C">
        <w:rPr>
          <w:rFonts w:asciiTheme="majorBidi" w:hAnsiTheme="majorBidi" w:cstheme="majorBidi"/>
          <w:sz w:val="24"/>
          <w:szCs w:val="24"/>
        </w:rPr>
        <w:t xml:space="preserve"> for the sustainable urban development process. The CPEC project will help to boost the Pakistan economy. </w:t>
      </w: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r w:rsidRPr="00ED53DD">
        <w:rPr>
          <w:rFonts w:asciiTheme="majorBidi" w:hAnsiTheme="majorBidi" w:cstheme="majorBidi"/>
          <w:sz w:val="28"/>
          <w:szCs w:val="28"/>
        </w:rPr>
        <w:t xml:space="preserve">Social and Economic Element of sustainable urban development </w:t>
      </w:r>
    </w:p>
    <w:p w:rsidR="00F356E5" w:rsidRPr="0019051C" w:rsidRDefault="00F356E5" w:rsidP="00F356E5">
      <w:pPr>
        <w:autoSpaceDE w:val="0"/>
        <w:autoSpaceDN w:val="0"/>
        <w:adjustRightInd w:val="0"/>
        <w:spacing w:after="0" w:line="360" w:lineRule="auto"/>
        <w:jc w:val="both"/>
        <w:rPr>
          <w:rFonts w:asciiTheme="majorBidi" w:hAnsiTheme="majorBidi" w:cstheme="majorBidi"/>
          <w:sz w:val="24"/>
          <w:szCs w:val="24"/>
        </w:rPr>
      </w:pPr>
      <w:r w:rsidRPr="0019051C">
        <w:rPr>
          <w:rFonts w:asciiTheme="majorBidi" w:hAnsiTheme="majorBidi" w:cstheme="majorBidi"/>
          <w:sz w:val="24"/>
          <w:szCs w:val="24"/>
        </w:rPr>
        <w:t>CPEC has the potential to increase the productivity in each economic sector which leads to increase the employment opportunity and increase in the income off masses to enjoy the better standard of living. It will help to publicize the physical conveniences, resources and assets over the country, helping Infrastructure development in the backward areas of Pakistan Because its touch not only the major cities but the backward areas of the country as well. There is also a lot of opportunities for the Nodes areas to improve their standard of living with multiplier effects, from getting benefits of connectivity with the business hubs.</w:t>
      </w: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r w:rsidRPr="0019051C">
        <w:rPr>
          <w:rFonts w:asciiTheme="majorBidi" w:hAnsiTheme="majorBidi" w:cstheme="majorBidi"/>
          <w:sz w:val="24"/>
          <w:szCs w:val="24"/>
        </w:rPr>
        <w:lastRenderedPageBreak/>
        <w:t>The public and private stakeholders will take interest for the betterment of power supply and adequate water and sanitation facilities which are the eye-catching investment spots for the investors now a day.   We will find a huge breakthrough in the technology, infrastructure and communication sectors as well to make the urban zone and population sustainable. This dimension representing the socio-economic contribution of CPEC. Reducing the gap between the regions and countries will help the people to mobilize and exchange their goods and services, will help the economy to Reduce the poverty and disparities which leads to decrease the deprivation and object poverty. Some studies estimated approximately 700000 jobs that will create CPEC from 2015 to 2030, the scenario will help to increase the economic growth by 2 to 2.5 percent annually. The one belt initiative will boost the social wellbeing of the people with the growth rate of 5.20 to the 2020. (</w:t>
      </w:r>
      <w:proofErr w:type="spellStart"/>
      <w:r w:rsidRPr="0019051C">
        <w:rPr>
          <w:rFonts w:asciiTheme="majorBidi" w:hAnsiTheme="majorBidi" w:cstheme="majorBidi"/>
          <w:sz w:val="24"/>
          <w:szCs w:val="24"/>
        </w:rPr>
        <w:t>Haq</w:t>
      </w:r>
      <w:proofErr w:type="spellEnd"/>
      <w:r w:rsidRPr="0019051C">
        <w:rPr>
          <w:rFonts w:asciiTheme="majorBidi" w:hAnsiTheme="majorBidi" w:cstheme="majorBidi"/>
          <w:sz w:val="24"/>
          <w:szCs w:val="24"/>
        </w:rPr>
        <w:t xml:space="preserve"> et.al, 2016). The provincial level study indicates the social wellbeing of people, Baluchistan, Sindh, KPK and Punjab will enjoy the high growth rate in social welfare which are 6.4 %, 6.31%, 5.19 % and 3.5% respectively. The three main elements of the social welfare which are Health, Education and shelter will gain the social welfare growth rate of 4.74, 3.85 and 8.6 correspondingly. These indications and estimations clarify the impacts of CPEC on the social and economic wellbeing of the people among the country and regions.</w:t>
      </w: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p>
    <w:p w:rsidR="00F356E5" w:rsidRPr="00ED53DD" w:rsidRDefault="00F356E5" w:rsidP="00F356E5">
      <w:pPr>
        <w:autoSpaceDE w:val="0"/>
        <w:autoSpaceDN w:val="0"/>
        <w:adjustRightInd w:val="0"/>
        <w:spacing w:after="0" w:line="360" w:lineRule="auto"/>
        <w:jc w:val="both"/>
        <w:rPr>
          <w:rFonts w:asciiTheme="majorBidi" w:hAnsiTheme="majorBidi" w:cstheme="majorBidi"/>
          <w:sz w:val="28"/>
          <w:szCs w:val="28"/>
        </w:rPr>
      </w:pPr>
      <w:r w:rsidRPr="00ED53DD">
        <w:rPr>
          <w:rFonts w:asciiTheme="majorBidi" w:hAnsiTheme="majorBidi" w:cstheme="majorBidi"/>
          <w:sz w:val="28"/>
          <w:szCs w:val="28"/>
        </w:rPr>
        <w:t>Political Elements of sustainable urban development</w:t>
      </w:r>
    </w:p>
    <w:p w:rsidR="00F356E5" w:rsidRPr="0019051C" w:rsidRDefault="00F356E5" w:rsidP="00F356E5">
      <w:pPr>
        <w:pStyle w:val="Default"/>
        <w:spacing w:line="360" w:lineRule="auto"/>
        <w:jc w:val="both"/>
        <w:rPr>
          <w:rFonts w:asciiTheme="majorBidi" w:hAnsiTheme="majorBidi" w:cstheme="majorBidi"/>
        </w:rPr>
      </w:pPr>
      <w:r w:rsidRPr="0019051C">
        <w:rPr>
          <w:rFonts w:asciiTheme="majorBidi" w:hAnsiTheme="majorBidi" w:cstheme="majorBidi"/>
        </w:rPr>
        <w:t>Political situation in Pakistan Is always unpredictable and doubtful, but fortunately within the situation most of the political stakeholders are agree with the importance of CPEC and willing to make it feasible with any cost. For the sustainable urban Establishing some strong associations between the central government, local government departments and community level organizations this is necessary part of urban development specially for developing country like Pakistan where the resources are limited and relationship between the governance are ineffectual.</w:t>
      </w: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 </w:t>
      </w:r>
      <w:proofErr w:type="spellStart"/>
      <w:r w:rsidRPr="0019051C">
        <w:rPr>
          <w:rFonts w:asciiTheme="majorBidi" w:hAnsiTheme="majorBidi" w:cstheme="majorBidi"/>
          <w:sz w:val="24"/>
          <w:szCs w:val="24"/>
        </w:rPr>
        <w:t>i</w:t>
      </w:r>
      <w:proofErr w:type="spellEnd"/>
      <w:r w:rsidRPr="0019051C">
        <w:rPr>
          <w:rFonts w:asciiTheme="majorBidi" w:hAnsiTheme="majorBidi" w:cstheme="majorBidi"/>
          <w:sz w:val="24"/>
          <w:szCs w:val="24"/>
        </w:rPr>
        <w:t xml:space="preserve">-e local government and private stakeholder who can manage the system of governance, organization, law and justice, security system, settlement and local disputes and problems at local level with inclusive urban development process. The political stability and influence </w:t>
      </w:r>
      <w:proofErr w:type="gramStart"/>
      <w:r w:rsidRPr="0019051C">
        <w:rPr>
          <w:rFonts w:asciiTheme="majorBidi" w:hAnsiTheme="majorBidi" w:cstheme="majorBidi"/>
          <w:sz w:val="24"/>
          <w:szCs w:val="24"/>
        </w:rPr>
        <w:t>is</w:t>
      </w:r>
      <w:proofErr w:type="gramEnd"/>
      <w:r w:rsidRPr="0019051C">
        <w:rPr>
          <w:rFonts w:asciiTheme="majorBidi" w:hAnsiTheme="majorBidi" w:cstheme="majorBidi"/>
          <w:sz w:val="24"/>
          <w:szCs w:val="24"/>
        </w:rPr>
        <w:t xml:space="preserve"> not only limited to the governance, but it is also necessary in implementing the policies and rules for limiting the ecological footprint, environmental and eco-centric policies on their masses. Environmentalist named it Green politics who are working for preserving Environment in their policies.</w:t>
      </w: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p>
    <w:p w:rsidR="00F356E5" w:rsidRDefault="00F356E5" w:rsidP="00F356E5">
      <w:pPr>
        <w:pStyle w:val="NormalWeb"/>
        <w:shd w:val="clear" w:color="auto" w:fill="FFFFFF"/>
        <w:spacing w:before="0" w:beforeAutospacing="0" w:after="150" w:afterAutospacing="0" w:line="360" w:lineRule="auto"/>
        <w:jc w:val="both"/>
        <w:rPr>
          <w:rFonts w:asciiTheme="majorBidi" w:eastAsiaTheme="minorHAnsi" w:hAnsiTheme="majorBidi" w:cstheme="majorBidi"/>
          <w:sz w:val="28"/>
          <w:szCs w:val="28"/>
        </w:rPr>
      </w:pPr>
      <w:r w:rsidRPr="00ED53DD">
        <w:rPr>
          <w:rFonts w:asciiTheme="majorBidi" w:eastAsiaTheme="minorHAnsi" w:hAnsiTheme="majorBidi" w:cstheme="majorBidi"/>
          <w:sz w:val="28"/>
          <w:szCs w:val="28"/>
        </w:rPr>
        <w:t xml:space="preserve">Environmental Elements of sustainable urban development </w:t>
      </w:r>
    </w:p>
    <w:p w:rsidR="00F356E5" w:rsidRDefault="00F356E5" w:rsidP="00F356E5">
      <w:pPr>
        <w:pStyle w:val="NormalWeb"/>
        <w:shd w:val="clear" w:color="auto" w:fill="FFFFFF"/>
        <w:spacing w:before="0" w:beforeAutospacing="0" w:after="150" w:afterAutospacing="0" w:line="360" w:lineRule="auto"/>
        <w:jc w:val="both"/>
        <w:rPr>
          <w:rFonts w:asciiTheme="majorBidi" w:hAnsiTheme="majorBidi" w:cstheme="majorBidi"/>
          <w:color w:val="000000"/>
        </w:rPr>
      </w:pPr>
      <w:r w:rsidRPr="0019051C">
        <w:rPr>
          <w:rFonts w:asciiTheme="majorBidi" w:hAnsiTheme="majorBidi" w:cstheme="majorBidi"/>
        </w:rPr>
        <w:t xml:space="preserve">CPEC is the amalgam of small and vast projects of energy, infrastructure and communication which also has some environmental impacts on ecosystem. Approximately 3000 to 6000 numbers of heavy trucks are moving per day from Gwadar to </w:t>
      </w:r>
      <w:proofErr w:type="spellStart"/>
      <w:r w:rsidRPr="0019051C">
        <w:rPr>
          <w:rFonts w:asciiTheme="majorBidi" w:hAnsiTheme="majorBidi" w:cstheme="majorBidi"/>
        </w:rPr>
        <w:t>kashghar</w:t>
      </w:r>
      <w:proofErr w:type="spellEnd"/>
      <w:r w:rsidRPr="0019051C">
        <w:rPr>
          <w:rFonts w:asciiTheme="majorBidi" w:hAnsiTheme="majorBidi" w:cstheme="majorBidi"/>
        </w:rPr>
        <w:t xml:space="preserve">. These heavy trucks releasing more CO2 than the trains, so how much amount of CO2 it will release till the completion of the project. Burning the fossil fuel is the responsible factor of atmospheric pollution because of Greenhouse gases (GHG) emissions in the energy production to promote the urban economic life. This energy is using in building new urban structure and then for the lifetime of urban cycle. </w:t>
      </w:r>
      <w:r w:rsidRPr="0019051C">
        <w:rPr>
          <w:rFonts w:asciiTheme="majorBidi" w:hAnsiTheme="majorBidi" w:cstheme="majorBidi"/>
          <w:color w:val="000000"/>
        </w:rPr>
        <w:t xml:space="preserve">The high voltage of electricity production for newly created economic zone needed which most of the energy electricity is generating by the coal which is against the sustainability. For the purpose using the lignite coal which is one of the dirtiest </w:t>
      </w:r>
      <w:proofErr w:type="gramStart"/>
      <w:r w:rsidRPr="0019051C">
        <w:rPr>
          <w:rFonts w:asciiTheme="majorBidi" w:hAnsiTheme="majorBidi" w:cstheme="majorBidi"/>
          <w:color w:val="000000"/>
        </w:rPr>
        <w:t>coal</w:t>
      </w:r>
      <w:proofErr w:type="gramEnd"/>
      <w:r w:rsidRPr="0019051C">
        <w:rPr>
          <w:rFonts w:asciiTheme="majorBidi" w:hAnsiTheme="majorBidi" w:cstheme="majorBidi"/>
          <w:color w:val="000000"/>
        </w:rPr>
        <w:t xml:space="preserve">. This impure coal has harmful impacts on the environment as well as on human health such as mental illness, cardiovascular and respiratory diseases and creating noise pollution which increase the health coast of the masses around the plant. We need to implement some rules regulations and implementations for the limitation ecological footprints, needs to Pak-china macroeconomics policy amendments regarding using of dirty technology for producing the energy. On the other hand, we can use the renewable energy sources for producing the clean and green energy technology </w:t>
      </w:r>
      <w:proofErr w:type="spellStart"/>
      <w:r w:rsidRPr="0019051C">
        <w:rPr>
          <w:rFonts w:asciiTheme="majorBidi" w:hAnsiTheme="majorBidi" w:cstheme="majorBidi"/>
          <w:color w:val="000000"/>
        </w:rPr>
        <w:t>i</w:t>
      </w:r>
      <w:proofErr w:type="spellEnd"/>
      <w:r w:rsidRPr="0019051C">
        <w:rPr>
          <w:rFonts w:asciiTheme="majorBidi" w:hAnsiTheme="majorBidi" w:cstheme="majorBidi"/>
          <w:color w:val="000000"/>
        </w:rPr>
        <w:t xml:space="preserve">-e Bio fuel, hydro power, solar, wind and geothermal electricity which will attract the huge investment in the energy sector. </w:t>
      </w: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r w:rsidRPr="00ED53DD">
        <w:rPr>
          <w:rFonts w:asciiTheme="majorBidi" w:hAnsiTheme="majorBidi" w:cstheme="majorBidi"/>
          <w:sz w:val="28"/>
          <w:szCs w:val="28"/>
        </w:rPr>
        <w:t>Path to sustainable urban development</w:t>
      </w:r>
      <w:r>
        <w:rPr>
          <w:rFonts w:asciiTheme="majorBidi" w:hAnsiTheme="majorBidi" w:cstheme="majorBidi"/>
          <w:sz w:val="28"/>
          <w:szCs w:val="28"/>
        </w:rPr>
        <w:t>:</w:t>
      </w:r>
      <w:r>
        <w:rPr>
          <w:rFonts w:asciiTheme="majorBidi" w:hAnsiTheme="majorBidi" w:cstheme="majorBidi"/>
          <w:sz w:val="24"/>
          <w:szCs w:val="24"/>
        </w:rPr>
        <w:t xml:space="preserve"> </w:t>
      </w: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r w:rsidRPr="0019051C">
        <w:rPr>
          <w:rFonts w:asciiTheme="majorBidi" w:hAnsiTheme="majorBidi" w:cstheme="majorBidi"/>
          <w:sz w:val="24"/>
          <w:szCs w:val="24"/>
        </w:rPr>
        <w:t>For achieving the sustainable urban development, we also need to preserve the environment and protect the ecosystem.</w:t>
      </w:r>
      <w:r>
        <w:rPr>
          <w:rFonts w:asciiTheme="majorBidi" w:hAnsiTheme="majorBidi" w:cstheme="majorBidi"/>
          <w:sz w:val="24"/>
          <w:szCs w:val="24"/>
        </w:rPr>
        <w:t xml:space="preserve"> </w:t>
      </w:r>
      <w:r w:rsidRPr="0019051C">
        <w:rPr>
          <w:rFonts w:asciiTheme="majorBidi" w:hAnsiTheme="majorBidi" w:cstheme="majorBidi"/>
          <w:sz w:val="24"/>
          <w:szCs w:val="24"/>
        </w:rPr>
        <w:t xml:space="preserve">With the implementation of Ecological Awareness among individuals to identify the limit of economic activities to the ecological footprint. The policy makers and the economies can help us to keep green the environment.  Such transformation has also some obstacle in the pathway of sustainable urban development. </w:t>
      </w:r>
    </w:p>
    <w:p w:rsidR="00F356E5" w:rsidRPr="0019051C" w:rsidRDefault="00F356E5" w:rsidP="00F356E5">
      <w:pPr>
        <w:autoSpaceDE w:val="0"/>
        <w:autoSpaceDN w:val="0"/>
        <w:adjustRightInd w:val="0"/>
        <w:spacing w:after="0" w:line="360" w:lineRule="auto"/>
        <w:jc w:val="both"/>
        <w:rPr>
          <w:rFonts w:asciiTheme="majorBidi" w:hAnsiTheme="majorBidi" w:cstheme="majorBidi"/>
          <w:sz w:val="24"/>
          <w:szCs w:val="24"/>
        </w:rPr>
      </w:pPr>
      <w:r w:rsidRPr="0019051C">
        <w:rPr>
          <w:rFonts w:asciiTheme="majorBidi" w:hAnsiTheme="majorBidi" w:cstheme="majorBidi"/>
          <w:sz w:val="24"/>
          <w:szCs w:val="24"/>
        </w:rPr>
        <w:lastRenderedPageBreak/>
        <w:t xml:space="preserve">First, the conventional anthropocentric attitude should be replaced to the eco-friendly mindset and attitude. Second, Peace play important role in sustainable urban development Karachi is the industrial business hub not in Pakistan but also globally is harshly affected by Conflict.  Third, we need to invent the eco-friendly technologies which can help us to reduce the ecological footprint. </w:t>
      </w:r>
    </w:p>
    <w:p w:rsidR="00F356E5" w:rsidRDefault="00F356E5" w:rsidP="00F356E5">
      <w:pPr>
        <w:autoSpaceDE w:val="0"/>
        <w:autoSpaceDN w:val="0"/>
        <w:adjustRightInd w:val="0"/>
        <w:spacing w:after="0" w:line="360" w:lineRule="auto"/>
        <w:jc w:val="both"/>
        <w:rPr>
          <w:rFonts w:asciiTheme="majorBidi" w:hAnsiTheme="majorBidi" w:cstheme="majorBidi"/>
          <w:sz w:val="24"/>
          <w:szCs w:val="24"/>
        </w:rPr>
      </w:pPr>
      <w:r w:rsidRPr="0019051C">
        <w:rPr>
          <w:rFonts w:asciiTheme="majorBidi" w:hAnsiTheme="majorBidi" w:cstheme="majorBidi"/>
          <w:sz w:val="24"/>
          <w:szCs w:val="24"/>
        </w:rPr>
        <w:t>Sustainable urban development can achieve through the collaboration of eco</w:t>
      </w:r>
      <w:r>
        <w:rPr>
          <w:rFonts w:asciiTheme="majorBidi" w:hAnsiTheme="majorBidi" w:cstheme="majorBidi"/>
          <w:sz w:val="24"/>
          <w:szCs w:val="24"/>
        </w:rPr>
        <w:t>-</w:t>
      </w:r>
      <w:r w:rsidRPr="0019051C">
        <w:rPr>
          <w:rFonts w:asciiTheme="majorBidi" w:hAnsiTheme="majorBidi" w:cstheme="majorBidi"/>
          <w:sz w:val="24"/>
          <w:szCs w:val="24"/>
        </w:rPr>
        <w:t>centric architecture, Engineers and urban development experts. Who can focus on these areas to make the urban development sustainable and eco-friendly. Landscaping approach to the building which mostly should be surrounded by the green area. Use of vertical gardening, use of eco</w:t>
      </w:r>
      <w:r>
        <w:rPr>
          <w:rFonts w:asciiTheme="majorBidi" w:hAnsiTheme="majorBidi" w:cstheme="majorBidi"/>
          <w:sz w:val="24"/>
          <w:szCs w:val="24"/>
        </w:rPr>
        <w:t>-</w:t>
      </w:r>
      <w:r w:rsidRPr="0019051C">
        <w:rPr>
          <w:rFonts w:asciiTheme="majorBidi" w:hAnsiTheme="majorBidi" w:cstheme="majorBidi"/>
          <w:sz w:val="24"/>
          <w:szCs w:val="24"/>
        </w:rPr>
        <w:t xml:space="preserve">centric technology to preserve the Environment using those materials which has the potential to decrease the carbon emissions, </w:t>
      </w:r>
      <w:r>
        <w:rPr>
          <w:rFonts w:asciiTheme="majorBidi" w:hAnsiTheme="majorBidi" w:cstheme="majorBidi"/>
          <w:sz w:val="24"/>
          <w:szCs w:val="24"/>
        </w:rPr>
        <w:t xml:space="preserve">find the </w:t>
      </w:r>
      <w:r w:rsidRPr="0019051C">
        <w:rPr>
          <w:rFonts w:asciiTheme="majorBidi" w:hAnsiTheme="majorBidi" w:cstheme="majorBidi"/>
          <w:sz w:val="24"/>
          <w:szCs w:val="24"/>
        </w:rPr>
        <w:t xml:space="preserve">Alternative sources of energy for construction. </w:t>
      </w:r>
    </w:p>
    <w:p w:rsidR="00F356E5" w:rsidRPr="0019051C" w:rsidRDefault="00F356E5" w:rsidP="00F356E5">
      <w:pPr>
        <w:autoSpaceDE w:val="0"/>
        <w:autoSpaceDN w:val="0"/>
        <w:adjustRightInd w:val="0"/>
        <w:spacing w:after="0" w:line="360" w:lineRule="auto"/>
        <w:jc w:val="both"/>
        <w:rPr>
          <w:rFonts w:asciiTheme="majorBidi" w:hAnsiTheme="majorBidi" w:cstheme="majorBidi"/>
          <w:sz w:val="24"/>
          <w:szCs w:val="24"/>
        </w:rPr>
      </w:pPr>
    </w:p>
    <w:p w:rsidR="00F356E5" w:rsidRPr="0019051C" w:rsidRDefault="00F356E5" w:rsidP="00F356E5">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Establish</w:t>
      </w:r>
      <w:r w:rsidRPr="0019051C">
        <w:rPr>
          <w:rFonts w:asciiTheme="majorBidi" w:hAnsiTheme="majorBidi" w:cstheme="majorBidi"/>
          <w:sz w:val="24"/>
          <w:szCs w:val="24"/>
        </w:rPr>
        <w:t xml:space="preserve"> a team of </w:t>
      </w:r>
      <w:r>
        <w:rPr>
          <w:rFonts w:asciiTheme="majorBidi" w:hAnsiTheme="majorBidi" w:cstheme="majorBidi"/>
          <w:sz w:val="24"/>
          <w:szCs w:val="24"/>
        </w:rPr>
        <w:t xml:space="preserve">Experts </w:t>
      </w:r>
      <w:r w:rsidRPr="0019051C">
        <w:rPr>
          <w:rFonts w:asciiTheme="majorBidi" w:hAnsiTheme="majorBidi" w:cstheme="majorBidi"/>
          <w:sz w:val="24"/>
          <w:szCs w:val="24"/>
        </w:rPr>
        <w:t xml:space="preserve">who can put forward planning and ideas to safeguard the Environmental Sustainability and Carrying Capacity of the natural resources available in the country for the better management and uses. Provide them a complete education knowledge about environmental and climate changes and its impacts on urban development. By the help of them discover the strength, weakness, opportunities and threat to the urban sustainability and regarding the CPEC projects. Also keep in mind the sensitivity of biodiversity along the routes we need to build separate ways for animal crossing and find some alternative routes instead of cutting trees and diversify the water ways. It’s better to bear the cost once rather paying continuously in the future. Also provide some guideline to the different regions according to their features of contributing to environment degradation. No compromise on land sustainability, land use and land conservation. Establish national parks in different areas or establish the protected areas to protect the biodiversity along the CPEC routes. CPEC itself is an institutional body there is needs to establish sub-bodies for different sectors </w:t>
      </w:r>
      <w:proofErr w:type="spellStart"/>
      <w:r w:rsidRPr="0019051C">
        <w:rPr>
          <w:rFonts w:asciiTheme="majorBidi" w:hAnsiTheme="majorBidi" w:cstheme="majorBidi"/>
          <w:sz w:val="24"/>
          <w:szCs w:val="24"/>
        </w:rPr>
        <w:t>i</w:t>
      </w:r>
      <w:proofErr w:type="spellEnd"/>
      <w:r w:rsidRPr="0019051C">
        <w:rPr>
          <w:rFonts w:asciiTheme="majorBidi" w:hAnsiTheme="majorBidi" w:cstheme="majorBidi"/>
          <w:sz w:val="24"/>
          <w:szCs w:val="24"/>
        </w:rPr>
        <w:t xml:space="preserve">-e Environmental protection council. For the fruitful results to achieve sustainable urban development we also need inclusive urban development to establish the local and community participation in every step of making urban development. </w:t>
      </w:r>
      <w:proofErr w:type="gramStart"/>
      <w:r w:rsidRPr="0019051C">
        <w:rPr>
          <w:rFonts w:asciiTheme="majorBidi" w:hAnsiTheme="majorBidi" w:cstheme="majorBidi"/>
          <w:sz w:val="24"/>
          <w:szCs w:val="24"/>
        </w:rPr>
        <w:t>These local participation</w:t>
      </w:r>
      <w:proofErr w:type="gramEnd"/>
      <w:r w:rsidRPr="0019051C">
        <w:rPr>
          <w:rFonts w:asciiTheme="majorBidi" w:hAnsiTheme="majorBidi" w:cstheme="majorBidi"/>
          <w:sz w:val="24"/>
          <w:szCs w:val="24"/>
        </w:rPr>
        <w:t xml:space="preserve"> is the source of knowledge that whether the development process is suite to us or not. Providing equal opportunity to every citizen of the society to take part in the pathway development.</w:t>
      </w:r>
    </w:p>
    <w:p w:rsidR="00F356E5" w:rsidRPr="0019051C" w:rsidRDefault="00F356E5" w:rsidP="00F356E5">
      <w:pPr>
        <w:autoSpaceDE w:val="0"/>
        <w:autoSpaceDN w:val="0"/>
        <w:adjustRightInd w:val="0"/>
        <w:spacing w:after="0" w:line="360" w:lineRule="auto"/>
        <w:jc w:val="both"/>
        <w:rPr>
          <w:rFonts w:asciiTheme="majorBidi" w:hAnsiTheme="majorBidi" w:cstheme="majorBidi"/>
          <w:sz w:val="24"/>
          <w:szCs w:val="24"/>
        </w:rPr>
      </w:pPr>
    </w:p>
    <w:p w:rsidR="00F356E5" w:rsidRPr="0019051C" w:rsidRDefault="00F356E5" w:rsidP="00F356E5">
      <w:pPr>
        <w:spacing w:line="360" w:lineRule="auto"/>
        <w:jc w:val="both"/>
        <w:rPr>
          <w:rFonts w:asciiTheme="majorBidi" w:hAnsiTheme="majorBidi" w:cstheme="majorBidi"/>
          <w:sz w:val="24"/>
          <w:szCs w:val="24"/>
        </w:rPr>
      </w:pPr>
    </w:p>
    <w:p w:rsidR="00F356E5" w:rsidRPr="0019051C" w:rsidRDefault="00F356E5" w:rsidP="00F356E5">
      <w:pPr>
        <w:spacing w:line="360" w:lineRule="auto"/>
        <w:jc w:val="both"/>
        <w:rPr>
          <w:rFonts w:asciiTheme="majorBidi" w:hAnsiTheme="majorBidi" w:cstheme="majorBidi"/>
          <w:sz w:val="24"/>
          <w:szCs w:val="24"/>
        </w:rPr>
      </w:pPr>
    </w:p>
    <w:p w:rsidR="00F356E5" w:rsidRPr="0019051C" w:rsidRDefault="00F356E5" w:rsidP="00F356E5">
      <w:pPr>
        <w:spacing w:line="360" w:lineRule="auto"/>
        <w:jc w:val="both"/>
        <w:rPr>
          <w:rFonts w:asciiTheme="majorBidi" w:hAnsiTheme="majorBidi" w:cstheme="majorBidi"/>
          <w:sz w:val="24"/>
          <w:szCs w:val="24"/>
        </w:rPr>
      </w:pPr>
    </w:p>
    <w:p w:rsidR="00F356E5" w:rsidRPr="0019051C" w:rsidRDefault="00F356E5" w:rsidP="00F356E5">
      <w:pPr>
        <w:spacing w:line="360" w:lineRule="auto"/>
        <w:jc w:val="both"/>
        <w:rPr>
          <w:rFonts w:asciiTheme="majorBidi" w:hAnsiTheme="majorBidi" w:cstheme="majorBidi"/>
          <w:sz w:val="24"/>
          <w:szCs w:val="24"/>
        </w:rPr>
      </w:pPr>
    </w:p>
    <w:sdt>
      <w:sdtPr>
        <w:rPr>
          <w:rFonts w:asciiTheme="majorBidi" w:eastAsiaTheme="minorHAnsi" w:hAnsiTheme="majorBidi" w:cstheme="minorBidi"/>
          <w:color w:val="auto"/>
          <w:sz w:val="24"/>
          <w:szCs w:val="24"/>
        </w:rPr>
        <w:id w:val="1333562877"/>
        <w:docPartObj>
          <w:docPartGallery w:val="Bibliographies"/>
          <w:docPartUnique/>
        </w:docPartObj>
      </w:sdtPr>
      <w:sdtEndPr/>
      <w:sdtContent>
        <w:p w:rsidR="00F356E5" w:rsidRPr="0019051C" w:rsidRDefault="00F356E5" w:rsidP="00F356E5">
          <w:pPr>
            <w:pStyle w:val="Heading1"/>
            <w:spacing w:line="360" w:lineRule="auto"/>
            <w:jc w:val="both"/>
            <w:rPr>
              <w:rFonts w:asciiTheme="majorBidi" w:hAnsiTheme="majorBidi"/>
              <w:color w:val="auto"/>
              <w:sz w:val="24"/>
              <w:szCs w:val="24"/>
            </w:rPr>
          </w:pPr>
          <w:r w:rsidRPr="0019051C">
            <w:rPr>
              <w:rFonts w:asciiTheme="majorBidi" w:hAnsiTheme="majorBidi"/>
              <w:color w:val="auto"/>
              <w:sz w:val="28"/>
              <w:szCs w:val="28"/>
            </w:rPr>
            <w:t>References</w:t>
          </w:r>
          <w:r w:rsidRPr="0019051C">
            <w:rPr>
              <w:rFonts w:asciiTheme="majorBidi" w:hAnsiTheme="majorBidi"/>
              <w:color w:val="auto"/>
              <w:sz w:val="24"/>
              <w:szCs w:val="24"/>
            </w:rPr>
            <w:t xml:space="preserve">: </w:t>
          </w:r>
        </w:p>
        <w:p w:rsidR="00F356E5" w:rsidRPr="0019051C" w:rsidRDefault="00F356E5" w:rsidP="00F356E5">
          <w:pPr>
            <w:jc w:val="both"/>
            <w:rPr>
              <w:rFonts w:asciiTheme="majorBidi" w:hAnsiTheme="majorBidi" w:cstheme="majorBidi"/>
              <w:sz w:val="24"/>
              <w:szCs w:val="24"/>
            </w:rPr>
          </w:pPr>
        </w:p>
        <w:sdt>
          <w:sdtPr>
            <w:rPr>
              <w:rFonts w:asciiTheme="majorBidi" w:hAnsiTheme="majorBidi" w:cstheme="majorBidi"/>
              <w:sz w:val="24"/>
              <w:szCs w:val="24"/>
            </w:rPr>
            <w:id w:val="111145805"/>
            <w:bibliography/>
          </w:sdtPr>
          <w:sdtEndPr/>
          <w:sdtContent>
            <w:p w:rsidR="00F356E5" w:rsidRPr="0019051C" w:rsidRDefault="00F356E5" w:rsidP="00F356E5">
              <w:pPr>
                <w:pStyle w:val="Bibliography"/>
                <w:spacing w:line="360" w:lineRule="auto"/>
                <w:jc w:val="both"/>
                <w:rPr>
                  <w:rFonts w:asciiTheme="majorBidi" w:hAnsiTheme="majorBidi" w:cstheme="majorBidi"/>
                  <w:noProof/>
                  <w:sz w:val="24"/>
                  <w:szCs w:val="24"/>
                </w:rPr>
              </w:pPr>
              <w:r w:rsidRPr="0019051C">
                <w:rPr>
                  <w:rFonts w:asciiTheme="majorBidi" w:hAnsiTheme="majorBidi" w:cstheme="majorBidi"/>
                  <w:sz w:val="24"/>
                  <w:szCs w:val="24"/>
                </w:rPr>
                <w:fldChar w:fldCharType="begin"/>
              </w:r>
              <w:r w:rsidRPr="0019051C">
                <w:rPr>
                  <w:rFonts w:asciiTheme="majorBidi" w:hAnsiTheme="majorBidi" w:cstheme="majorBidi"/>
                  <w:sz w:val="24"/>
                  <w:szCs w:val="24"/>
                </w:rPr>
                <w:instrText xml:space="preserve"> BIBLIOGRAPHY </w:instrText>
              </w:r>
              <w:r w:rsidRPr="0019051C">
                <w:rPr>
                  <w:rFonts w:asciiTheme="majorBidi" w:hAnsiTheme="majorBidi" w:cstheme="majorBidi"/>
                  <w:sz w:val="24"/>
                  <w:szCs w:val="24"/>
                </w:rPr>
                <w:fldChar w:fldCharType="separate"/>
              </w:r>
              <w:r w:rsidRPr="0019051C">
                <w:rPr>
                  <w:rFonts w:asciiTheme="majorBidi" w:hAnsiTheme="majorBidi" w:cstheme="majorBidi"/>
                  <w:noProof/>
                  <w:sz w:val="24"/>
                  <w:szCs w:val="24"/>
                </w:rPr>
                <w:t>Ahmad, t., phanwar, i. p., &amp; zarif, t. (n.d.). socail and economic impacts of urbanization inpakistan. 1-13.</w:t>
              </w:r>
            </w:p>
            <w:p w:rsidR="00F356E5" w:rsidRPr="0019051C" w:rsidRDefault="00F356E5" w:rsidP="00F356E5">
              <w:pPr>
                <w:pStyle w:val="Bibliography"/>
                <w:spacing w:line="360" w:lineRule="auto"/>
                <w:jc w:val="both"/>
                <w:rPr>
                  <w:rFonts w:asciiTheme="majorBidi" w:hAnsiTheme="majorBidi" w:cstheme="majorBidi"/>
                  <w:noProof/>
                  <w:sz w:val="24"/>
                  <w:szCs w:val="24"/>
                </w:rPr>
              </w:pPr>
              <w:r w:rsidRPr="0019051C">
                <w:rPr>
                  <w:rFonts w:asciiTheme="majorBidi" w:hAnsiTheme="majorBidi" w:cstheme="majorBidi"/>
                  <w:noProof/>
                  <w:sz w:val="24"/>
                  <w:szCs w:val="24"/>
                </w:rPr>
                <w:t xml:space="preserve">Bank, Asian development (2014). </w:t>
              </w:r>
              <w:r w:rsidRPr="0019051C">
                <w:rPr>
                  <w:rFonts w:asciiTheme="majorBidi" w:hAnsiTheme="majorBidi" w:cstheme="majorBidi"/>
                  <w:i/>
                  <w:iCs/>
                  <w:noProof/>
                  <w:sz w:val="24"/>
                  <w:szCs w:val="24"/>
                </w:rPr>
                <w:t>developing economic corridor in south asia.</w:t>
              </w:r>
              <w:r w:rsidRPr="0019051C">
                <w:rPr>
                  <w:rFonts w:asciiTheme="majorBidi" w:hAnsiTheme="majorBidi" w:cstheme="majorBidi"/>
                  <w:noProof/>
                  <w:sz w:val="24"/>
                  <w:szCs w:val="24"/>
                </w:rPr>
                <w:t xml:space="preserve"> India: ISBN 978-92-9254-510-9 (Print), 978-92-9254-511-6 (PDF).</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b/>
                  <w:bCs/>
                  <w:noProof/>
                  <w:sz w:val="24"/>
                  <w:szCs w:val="24"/>
                </w:rPr>
                <w:fldChar w:fldCharType="end"/>
              </w:r>
              <w:r w:rsidRPr="0019051C">
                <w:rPr>
                  <w:rFonts w:asciiTheme="majorBidi" w:hAnsiTheme="majorBidi" w:cstheme="majorBidi"/>
                  <w:sz w:val="24"/>
                  <w:szCs w:val="24"/>
                </w:rPr>
                <w:t xml:space="preserve"> Building Safe and Inclusive Cities for Women- A Practical Guide (</w:t>
              </w:r>
              <w:proofErr w:type="spellStart"/>
              <w:r w:rsidRPr="0019051C">
                <w:rPr>
                  <w:rFonts w:asciiTheme="majorBidi" w:hAnsiTheme="majorBidi" w:cstheme="majorBidi"/>
                  <w:sz w:val="24"/>
                  <w:szCs w:val="24"/>
                </w:rPr>
                <w:t>Jagori</w:t>
              </w:r>
              <w:proofErr w:type="spellEnd"/>
              <w:r w:rsidRPr="0019051C">
                <w:rPr>
                  <w:rFonts w:asciiTheme="majorBidi" w:hAnsiTheme="majorBidi" w:cstheme="majorBidi"/>
                  <w:sz w:val="24"/>
                  <w:szCs w:val="24"/>
                </w:rPr>
                <w:t xml:space="preserve">) </w:t>
              </w:r>
              <w:hyperlink r:id="rId11" w:history="1">
                <w:r w:rsidRPr="0019051C">
                  <w:rPr>
                    <w:rStyle w:val="Hyperlink"/>
                    <w:rFonts w:asciiTheme="majorBidi" w:hAnsiTheme="majorBidi" w:cstheme="majorBidi"/>
                    <w:sz w:val="24"/>
                    <w:szCs w:val="24"/>
                  </w:rPr>
                  <w:t>http://www.jagori.org/wp-content/uploads/2006/01/Building-Safe-Inclusive-Cities-for-Women_A-Practical-Guide_2011.pdf</w:t>
                </w:r>
              </w:hyperlink>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Building Gender-Inclusive Cities (ICPC) http://www.crime-prevention-intl.org/fileadmin/user_upload/Evenements/10th_ICPC_Colloquium/Proceedings/Kalpana_Viswanath.pdf Informal Public Transport</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Census”, Population of Pakistan: An Analysis of 1998 Population and Housing Census, Pakistan Institute of Development Economics/UNFPA, Islamabad</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Checklist for Inclusive Urban Infrastructure development, 2016 (CDIA) </w:t>
              </w:r>
              <w:hyperlink r:id="rId12" w:history="1">
                <w:r w:rsidRPr="0019051C">
                  <w:rPr>
                    <w:rStyle w:val="Hyperlink"/>
                    <w:rFonts w:asciiTheme="majorBidi" w:hAnsiTheme="majorBidi" w:cstheme="majorBidi"/>
                    <w:sz w:val="24"/>
                    <w:szCs w:val="24"/>
                  </w:rPr>
                  <w:t>http://cdia.asia/wp-content/uploads/2016/07/CDIA-Inclusive-City-Checklist-Jun-2016.pdf</w:t>
                </w:r>
              </w:hyperlink>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Guidance Note: Poverty and Social Dimensions of Urban Projects 2014 (ADB) http://www.adb.org/documents/guidance-note-poverty-and-social-dimensions-urban-projects</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Inclusive Cities (ADB) </w:t>
              </w:r>
              <w:hyperlink r:id="rId13" w:history="1">
                <w:r w:rsidRPr="0019051C">
                  <w:rPr>
                    <w:rStyle w:val="Hyperlink"/>
                    <w:rFonts w:asciiTheme="majorBidi" w:hAnsiTheme="majorBidi" w:cstheme="majorBidi"/>
                    <w:sz w:val="24"/>
                    <w:szCs w:val="24"/>
                  </w:rPr>
                  <w:t>https://www.adb.org/sites/default/files/publication/29053/inclusive-cities.pdf</w:t>
                </w:r>
              </w:hyperlink>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Inclusive Urban Infrastructure – a guide for Municipalities in Asia, 2016 (CDIA) http://cdia.asia/wp-content/uploads/2016/09/Inclusive-Urban-Infrastructure-Investments_A-Guide-for-Municipalities.pdf</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lastRenderedPageBreak/>
                <w:t>Informal Public Transport in Three Indonesian Cities http://www.kotakita.org/publications-docs/Informal%20Public%20Transportation%20Networks_2011.pdf</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Informal Public Transport Readings and Links (GTZ) </w:t>
              </w:r>
              <w:hyperlink r:id="rId14" w:history="1">
                <w:r w:rsidRPr="0019051C">
                  <w:rPr>
                    <w:rStyle w:val="Hyperlink"/>
                    <w:rFonts w:asciiTheme="majorBidi" w:hAnsiTheme="majorBidi" w:cstheme="majorBidi"/>
                    <w:sz w:val="24"/>
                    <w:szCs w:val="24"/>
                  </w:rPr>
                  <w:t>http://www.sutp.org/files/contents/documents/resources/F_Reading-Lists/GIZ_SUTP_RL_Informal-Public-Transport_EN.pdf</w:t>
                </w:r>
              </w:hyperlink>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Housing for Inclusive Cities (Global Cities Business Alliance) https://www.businessincities.com/wp-content/uploads/2016/06/GCBA-Housing-Report-II-Final.pdf</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Hopwood, B.; Mellor, M.; O’Brien, G. Sustainable Development: Mapping Different Approaches. Sustain. Dev. 2005, 13, 38–52 </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Local Economic Development in Practice and Strategic Planning (UN-Habitat/</w:t>
              </w:r>
              <w:proofErr w:type="spellStart"/>
              <w:r w:rsidRPr="0019051C">
                <w:rPr>
                  <w:rFonts w:asciiTheme="majorBidi" w:hAnsiTheme="majorBidi" w:cstheme="majorBidi"/>
                  <w:sz w:val="24"/>
                  <w:szCs w:val="24"/>
                </w:rPr>
                <w:t>ecoPlan</w:t>
              </w:r>
              <w:proofErr w:type="spellEnd"/>
              <w:r w:rsidRPr="0019051C">
                <w:rPr>
                  <w:rFonts w:asciiTheme="majorBidi" w:hAnsiTheme="majorBidi" w:cstheme="majorBidi"/>
                  <w:sz w:val="24"/>
                  <w:szCs w:val="24"/>
                </w:rPr>
                <w:t xml:space="preserve">) http://unhabitat.org/local-economic-development-in-practice/ </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 xml:space="preserve">The Role of local Government in Local Economic Development </w:t>
              </w:r>
              <w:hyperlink r:id="rId15" w:history="1">
                <w:r w:rsidRPr="0019051C">
                  <w:rPr>
                    <w:rStyle w:val="Hyperlink"/>
                    <w:rFonts w:asciiTheme="majorBidi" w:hAnsiTheme="majorBidi" w:cstheme="majorBidi"/>
                    <w:sz w:val="24"/>
                    <w:szCs w:val="24"/>
                  </w:rPr>
                  <w:t>http://www.vng-international.nl/wpcontent/uploads/2015/06/The_role_of_local_government_in_local_economic_development.pdf</w:t>
                </w:r>
              </w:hyperlink>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The City We Need 2.0 – Towards a New Urban Paradigm (World Urban Campaign) http://www.worldurbancampaign.org/sites/default/files/Annex%20I_The%20City%20We%20Need%20TCWN%202.0_0.pdf</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http://www.citiesalliance.org/sites/citiesalliance.org/files/TheInclusiveCity_0.pdf</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http://unhabitat.org/series/promoting-local-economic-development-through-strategic-planning/</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https://www.adb.org/projects/47255-001/main</w:t>
              </w:r>
            </w:p>
            <w:p w:rsidR="00F356E5" w:rsidRPr="0019051C" w:rsidRDefault="00F356E5" w:rsidP="00F356E5">
              <w:pPr>
                <w:spacing w:line="360" w:lineRule="auto"/>
                <w:jc w:val="both"/>
                <w:rPr>
                  <w:rFonts w:asciiTheme="majorBidi" w:hAnsiTheme="majorBidi" w:cstheme="majorBidi"/>
                  <w:sz w:val="24"/>
                  <w:szCs w:val="24"/>
                </w:rPr>
              </w:pPr>
              <w:r w:rsidRPr="0019051C">
                <w:rPr>
                  <w:rFonts w:asciiTheme="majorBidi" w:hAnsiTheme="majorBidi" w:cstheme="majorBidi"/>
                  <w:sz w:val="24"/>
                  <w:szCs w:val="24"/>
                </w:rPr>
                <w:t>http://www.wiego.org/informal-economy/occupational-groups/waste-pickers</w:t>
              </w:r>
            </w:p>
            <w:p w:rsidR="00F356E5" w:rsidRPr="0019051C" w:rsidRDefault="00F356E5" w:rsidP="00F356E5">
              <w:pPr>
                <w:spacing w:line="360" w:lineRule="auto"/>
                <w:jc w:val="both"/>
                <w:rPr>
                  <w:rFonts w:asciiTheme="majorBidi" w:hAnsiTheme="majorBidi" w:cstheme="majorBidi"/>
                  <w:sz w:val="24"/>
                  <w:szCs w:val="24"/>
                </w:rPr>
              </w:pPr>
            </w:p>
            <w:p w:rsidR="00F356E5" w:rsidRPr="0019051C" w:rsidRDefault="00F356E5" w:rsidP="00F356E5">
              <w:pPr>
                <w:spacing w:line="360" w:lineRule="auto"/>
                <w:jc w:val="both"/>
                <w:rPr>
                  <w:rFonts w:asciiTheme="majorBidi" w:hAnsiTheme="majorBidi" w:cstheme="majorBidi"/>
                  <w:sz w:val="24"/>
                  <w:szCs w:val="24"/>
                </w:rPr>
              </w:pPr>
            </w:p>
            <w:p w:rsidR="00F356E5" w:rsidRPr="0019051C" w:rsidRDefault="00E85B80" w:rsidP="00F356E5">
              <w:pPr>
                <w:spacing w:line="360" w:lineRule="auto"/>
                <w:jc w:val="both"/>
                <w:rPr>
                  <w:rFonts w:asciiTheme="majorBidi" w:hAnsiTheme="majorBidi" w:cstheme="majorBidi"/>
                  <w:sz w:val="24"/>
                  <w:szCs w:val="24"/>
                </w:rPr>
              </w:pPr>
            </w:p>
          </w:sdtContent>
        </w:sdt>
      </w:sdtContent>
    </w:sdt>
    <w:p w:rsidR="00AC1B99" w:rsidRDefault="00AC1B99"/>
    <w:sectPr w:rsidR="00AC1B9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2C34BE"/>
    <w:multiLevelType w:val="hybridMultilevel"/>
    <w:tmpl w:val="F4588944"/>
    <w:lvl w:ilvl="0" w:tplc="6490547E">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6E5"/>
    <w:rsid w:val="00AC1B99"/>
    <w:rsid w:val="00E85B80"/>
    <w:rsid w:val="00F356E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0C24E7"/>
  <w15:chartTrackingRefBased/>
  <w15:docId w15:val="{4BEB10C6-B7AC-4082-92D6-B774E0CD0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56E5"/>
  </w:style>
  <w:style w:type="paragraph" w:styleId="Heading1">
    <w:name w:val="heading 1"/>
    <w:basedOn w:val="Normal"/>
    <w:next w:val="Normal"/>
    <w:link w:val="Heading1Char"/>
    <w:uiPriority w:val="9"/>
    <w:qFormat/>
    <w:rsid w:val="00F356E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56E5"/>
    <w:rPr>
      <w:rFonts w:asciiTheme="majorHAnsi" w:eastAsiaTheme="majorEastAsia" w:hAnsiTheme="majorHAnsi" w:cstheme="majorBidi"/>
      <w:color w:val="2F5496" w:themeColor="accent1" w:themeShade="BF"/>
      <w:sz w:val="32"/>
      <w:szCs w:val="32"/>
    </w:rPr>
  </w:style>
  <w:style w:type="paragraph" w:customStyle="1" w:styleId="Default">
    <w:name w:val="Default"/>
    <w:rsid w:val="00F356E5"/>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F356E5"/>
    <w:pPr>
      <w:ind w:left="720"/>
      <w:contextualSpacing/>
    </w:pPr>
  </w:style>
  <w:style w:type="character" w:styleId="Hyperlink">
    <w:name w:val="Hyperlink"/>
    <w:basedOn w:val="DefaultParagraphFont"/>
    <w:uiPriority w:val="99"/>
    <w:unhideWhenUsed/>
    <w:rsid w:val="00F356E5"/>
    <w:rPr>
      <w:color w:val="0563C1" w:themeColor="hyperlink"/>
      <w:u w:val="single"/>
    </w:rPr>
  </w:style>
  <w:style w:type="paragraph" w:styleId="Bibliography">
    <w:name w:val="Bibliography"/>
    <w:basedOn w:val="Normal"/>
    <w:next w:val="Normal"/>
    <w:uiPriority w:val="37"/>
    <w:unhideWhenUsed/>
    <w:rsid w:val="00F356E5"/>
  </w:style>
  <w:style w:type="paragraph" w:styleId="NormalWeb">
    <w:name w:val="Normal (Web)"/>
    <w:basedOn w:val="Normal"/>
    <w:uiPriority w:val="99"/>
    <w:unhideWhenUsed/>
    <w:rsid w:val="00F356E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QuickStyle" Target="diagrams/quickStyle1.xml"/><Relationship Id="rId13" Type="http://schemas.openxmlformats.org/officeDocument/2006/relationships/hyperlink" Target="https://www.adb.org/sites/default/files/publication/29053/inclusive-cities.pdf" TargetMode="External"/><Relationship Id="rId3" Type="http://schemas.openxmlformats.org/officeDocument/2006/relationships/styles" Target="styles.xml"/><Relationship Id="rId7" Type="http://schemas.openxmlformats.org/officeDocument/2006/relationships/diagramLayout" Target="diagrams/layout1.xml"/><Relationship Id="rId12" Type="http://schemas.openxmlformats.org/officeDocument/2006/relationships/hyperlink" Target="http://cdia.asia/wp-content/uploads/2016/07/CDIA-Inclusive-City-Checklist-Jun-2016.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hyperlink" Target="http://www.jagori.org/wp-content/uploads/2006/01/Building-Safe-Inclusive-Cities-for-Women_A-Practical-Guide_2011.pdf" TargetMode="External"/><Relationship Id="rId5" Type="http://schemas.openxmlformats.org/officeDocument/2006/relationships/webSettings" Target="webSettings.xml"/><Relationship Id="rId15" Type="http://schemas.openxmlformats.org/officeDocument/2006/relationships/hyperlink" Target="http://www.vng-international.nl/wpcontent/uploads/2015/06/The_role_of_local_government_in_local_economic_development.pdf" TargetMode="External"/><Relationship Id="rId10"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hyperlink" Target="http://www.sutp.org/files/contents/documents/resources/F_Reading-Lists/GIZ_SUTP_RL_Informal-Public-Transport_EN.pdf" TargetMode="External"/></Relationships>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6FA70A7-188B-44BE-8C4B-10F364E026A8}" type="doc">
      <dgm:prSet loTypeId="urn:microsoft.com/office/officeart/2005/8/layout/cycle4" loCatId="matrix" qsTypeId="urn:microsoft.com/office/officeart/2005/8/quickstyle/simple4" qsCatId="simple" csTypeId="urn:microsoft.com/office/officeart/2005/8/colors/accent1_4" csCatId="accent1" phldr="1"/>
      <dgm:spPr/>
      <dgm:t>
        <a:bodyPr/>
        <a:lstStyle/>
        <a:p>
          <a:endParaRPr lang="en-US"/>
        </a:p>
      </dgm:t>
    </dgm:pt>
    <dgm:pt modelId="{20E66BC6-1C52-4448-A819-25AE1FB622B9}">
      <dgm:prSet phldrT="[Text]"/>
      <dgm:spPr/>
      <dgm:t>
        <a:bodyPr/>
        <a:lstStyle/>
        <a:p>
          <a:r>
            <a:rPr lang="en-US"/>
            <a:t>Social	</a:t>
          </a:r>
        </a:p>
      </dgm:t>
    </dgm:pt>
    <dgm:pt modelId="{9219EE9C-8C42-470A-89FB-7D1E2741C1A7}" type="parTrans" cxnId="{E2B9BD99-01CF-4753-B367-58F2D71F44AD}">
      <dgm:prSet/>
      <dgm:spPr/>
      <dgm:t>
        <a:bodyPr/>
        <a:lstStyle/>
        <a:p>
          <a:endParaRPr lang="en-US"/>
        </a:p>
      </dgm:t>
    </dgm:pt>
    <dgm:pt modelId="{E6D873D2-97B5-465B-BF71-95B39231F8F7}" type="sibTrans" cxnId="{E2B9BD99-01CF-4753-B367-58F2D71F44AD}">
      <dgm:prSet/>
      <dgm:spPr/>
      <dgm:t>
        <a:bodyPr/>
        <a:lstStyle/>
        <a:p>
          <a:endParaRPr lang="en-US"/>
        </a:p>
      </dgm:t>
    </dgm:pt>
    <dgm:pt modelId="{A3F8458C-CFB4-4B01-828B-442FB74F7F63}">
      <dgm:prSet phldrT="[Text]" custT="1"/>
      <dgm:spPr/>
      <dgm:t>
        <a:bodyPr/>
        <a:lstStyle/>
        <a:p>
          <a:r>
            <a:rPr lang="en-US" sz="1100"/>
            <a:t>Eliminate poverty</a:t>
          </a:r>
        </a:p>
      </dgm:t>
    </dgm:pt>
    <dgm:pt modelId="{114A5880-8BD4-4246-9180-66ACF331F588}" type="parTrans" cxnId="{2A792773-63C0-49C4-A8E7-71D5A552E4C0}">
      <dgm:prSet/>
      <dgm:spPr/>
      <dgm:t>
        <a:bodyPr/>
        <a:lstStyle/>
        <a:p>
          <a:endParaRPr lang="en-US"/>
        </a:p>
      </dgm:t>
    </dgm:pt>
    <dgm:pt modelId="{88B00D11-C281-4120-B489-018DFB3370B8}" type="sibTrans" cxnId="{2A792773-63C0-49C4-A8E7-71D5A552E4C0}">
      <dgm:prSet/>
      <dgm:spPr/>
      <dgm:t>
        <a:bodyPr/>
        <a:lstStyle/>
        <a:p>
          <a:endParaRPr lang="en-US"/>
        </a:p>
      </dgm:t>
    </dgm:pt>
    <dgm:pt modelId="{E2828D71-5922-4173-BCD7-5B5B74B31201}">
      <dgm:prSet phldrT="[Text]"/>
      <dgm:spPr/>
      <dgm:t>
        <a:bodyPr/>
        <a:lstStyle/>
        <a:p>
          <a:r>
            <a:rPr lang="en-US"/>
            <a:t>Economic</a:t>
          </a:r>
        </a:p>
      </dgm:t>
    </dgm:pt>
    <dgm:pt modelId="{327F8D0C-F195-4324-A3EE-A05ED8581ED2}" type="parTrans" cxnId="{83441C03-8E91-45FC-BFC9-6F12C933C5AD}">
      <dgm:prSet/>
      <dgm:spPr/>
      <dgm:t>
        <a:bodyPr/>
        <a:lstStyle/>
        <a:p>
          <a:endParaRPr lang="en-US"/>
        </a:p>
      </dgm:t>
    </dgm:pt>
    <dgm:pt modelId="{17F7A166-5815-4124-84CD-49315542A959}" type="sibTrans" cxnId="{83441C03-8E91-45FC-BFC9-6F12C933C5AD}">
      <dgm:prSet/>
      <dgm:spPr/>
      <dgm:t>
        <a:bodyPr/>
        <a:lstStyle/>
        <a:p>
          <a:endParaRPr lang="en-US"/>
        </a:p>
      </dgm:t>
    </dgm:pt>
    <dgm:pt modelId="{DCE83B3D-C92E-4C0D-8F80-A4EE02CCFAC1}">
      <dgm:prSet phldrT="[Text]" custT="1"/>
      <dgm:spPr/>
      <dgm:t>
        <a:bodyPr/>
        <a:lstStyle/>
        <a:p>
          <a:r>
            <a:rPr lang="en-US" sz="1100"/>
            <a:t>Effecient use of Resources</a:t>
          </a:r>
        </a:p>
      </dgm:t>
    </dgm:pt>
    <dgm:pt modelId="{CFE99EB4-667C-44BA-A3DA-ED3FF81364EE}" type="parTrans" cxnId="{96BDCDBA-EFBF-4D3E-8E9E-87F9FDFF8E48}">
      <dgm:prSet/>
      <dgm:spPr/>
      <dgm:t>
        <a:bodyPr/>
        <a:lstStyle/>
        <a:p>
          <a:endParaRPr lang="en-US"/>
        </a:p>
      </dgm:t>
    </dgm:pt>
    <dgm:pt modelId="{9A514E5C-8D79-4979-BA64-16158408412B}" type="sibTrans" cxnId="{96BDCDBA-EFBF-4D3E-8E9E-87F9FDFF8E48}">
      <dgm:prSet/>
      <dgm:spPr/>
      <dgm:t>
        <a:bodyPr/>
        <a:lstStyle/>
        <a:p>
          <a:endParaRPr lang="en-US"/>
        </a:p>
      </dgm:t>
    </dgm:pt>
    <dgm:pt modelId="{7D3EAB72-3543-4E9E-BF3D-A2749E5910CF}">
      <dgm:prSet phldrT="[Text]"/>
      <dgm:spPr/>
      <dgm:t>
        <a:bodyPr/>
        <a:lstStyle/>
        <a:p>
          <a:r>
            <a:rPr lang="en-US"/>
            <a:t>Enviornment</a:t>
          </a:r>
        </a:p>
      </dgm:t>
    </dgm:pt>
    <dgm:pt modelId="{9E4C9D28-EF16-456E-A557-9F50B9C520AF}" type="parTrans" cxnId="{7065AD08-C1A3-4A4D-9A52-94D944EBA8D3}">
      <dgm:prSet/>
      <dgm:spPr/>
      <dgm:t>
        <a:bodyPr/>
        <a:lstStyle/>
        <a:p>
          <a:endParaRPr lang="en-US"/>
        </a:p>
      </dgm:t>
    </dgm:pt>
    <dgm:pt modelId="{C12276D7-CBDE-44F9-A88D-62608B55F2DA}" type="sibTrans" cxnId="{7065AD08-C1A3-4A4D-9A52-94D944EBA8D3}">
      <dgm:prSet/>
      <dgm:spPr/>
      <dgm:t>
        <a:bodyPr/>
        <a:lstStyle/>
        <a:p>
          <a:endParaRPr lang="en-US"/>
        </a:p>
      </dgm:t>
    </dgm:pt>
    <dgm:pt modelId="{396CB126-1A2E-49F8-8417-04BBA6B22664}">
      <dgm:prSet phldrT="[Text]" custT="1"/>
      <dgm:spPr/>
      <dgm:t>
        <a:bodyPr/>
        <a:lstStyle/>
        <a:p>
          <a:r>
            <a:rPr lang="en-US" sz="800"/>
            <a:t>Effecient Use of natural resources</a:t>
          </a:r>
        </a:p>
      </dgm:t>
    </dgm:pt>
    <dgm:pt modelId="{EB75171A-5694-4E13-AD9D-CE233DD50D8E}" type="parTrans" cxnId="{06D951D1-7C1F-4A51-B463-4FB158528AC8}">
      <dgm:prSet/>
      <dgm:spPr/>
      <dgm:t>
        <a:bodyPr/>
        <a:lstStyle/>
        <a:p>
          <a:endParaRPr lang="en-US"/>
        </a:p>
      </dgm:t>
    </dgm:pt>
    <dgm:pt modelId="{E99D246C-BBF3-4BD6-87D8-8870505D5C65}" type="sibTrans" cxnId="{06D951D1-7C1F-4A51-B463-4FB158528AC8}">
      <dgm:prSet/>
      <dgm:spPr/>
      <dgm:t>
        <a:bodyPr/>
        <a:lstStyle/>
        <a:p>
          <a:endParaRPr lang="en-US"/>
        </a:p>
      </dgm:t>
    </dgm:pt>
    <dgm:pt modelId="{1D76BB2D-EB39-45F4-80E2-DFA6EE799960}">
      <dgm:prSet phldrT="[Text]"/>
      <dgm:spPr/>
      <dgm:t>
        <a:bodyPr/>
        <a:lstStyle/>
        <a:p>
          <a:r>
            <a:rPr lang="en-US"/>
            <a:t>Political</a:t>
          </a:r>
        </a:p>
      </dgm:t>
    </dgm:pt>
    <dgm:pt modelId="{FF2DD4AF-68A6-462E-95D6-5C4C717067E2}" type="parTrans" cxnId="{947EE6E2-81E3-445F-A8CC-E88CC630AE43}">
      <dgm:prSet/>
      <dgm:spPr/>
      <dgm:t>
        <a:bodyPr/>
        <a:lstStyle/>
        <a:p>
          <a:endParaRPr lang="en-US"/>
        </a:p>
      </dgm:t>
    </dgm:pt>
    <dgm:pt modelId="{34330D9F-F462-46E8-82A7-3C0C3C7D0437}" type="sibTrans" cxnId="{947EE6E2-81E3-445F-A8CC-E88CC630AE43}">
      <dgm:prSet/>
      <dgm:spPr/>
      <dgm:t>
        <a:bodyPr/>
        <a:lstStyle/>
        <a:p>
          <a:endParaRPr lang="en-US"/>
        </a:p>
      </dgm:t>
    </dgm:pt>
    <dgm:pt modelId="{C1BB5B58-72FF-4F3F-806A-0C370B1F516C}">
      <dgm:prSet phldrT="[Text]" custT="1"/>
      <dgm:spPr/>
      <dgm:t>
        <a:bodyPr/>
        <a:lstStyle/>
        <a:p>
          <a:r>
            <a:rPr lang="en-US" sz="1100"/>
            <a:t>Law and order</a:t>
          </a:r>
        </a:p>
      </dgm:t>
    </dgm:pt>
    <dgm:pt modelId="{222AB235-E6F9-47DE-9903-47668FA01F44}" type="parTrans" cxnId="{A0E7B41E-000D-467B-80BB-33BC722AF08A}">
      <dgm:prSet/>
      <dgm:spPr/>
      <dgm:t>
        <a:bodyPr/>
        <a:lstStyle/>
        <a:p>
          <a:endParaRPr lang="en-US"/>
        </a:p>
      </dgm:t>
    </dgm:pt>
    <dgm:pt modelId="{FE55B5A8-3201-4186-AEA8-C9CF2362AFF7}" type="sibTrans" cxnId="{A0E7B41E-000D-467B-80BB-33BC722AF08A}">
      <dgm:prSet/>
      <dgm:spPr/>
      <dgm:t>
        <a:bodyPr/>
        <a:lstStyle/>
        <a:p>
          <a:endParaRPr lang="en-US"/>
        </a:p>
      </dgm:t>
    </dgm:pt>
    <dgm:pt modelId="{3CEC1F66-2465-4A5F-BAC4-AF92F3AB40C6}">
      <dgm:prSet phldrT="[Text]" custT="1"/>
      <dgm:spPr/>
      <dgm:t>
        <a:bodyPr/>
        <a:lstStyle/>
        <a:p>
          <a:r>
            <a:rPr lang="en-US" sz="1100"/>
            <a:t>Increase social wellbieng</a:t>
          </a:r>
        </a:p>
      </dgm:t>
    </dgm:pt>
    <dgm:pt modelId="{168E9F5F-9028-4DE9-9BCB-A44FD2410AE8}" type="parTrans" cxnId="{15FFFC00-C016-431E-9F84-1079EE3F7553}">
      <dgm:prSet/>
      <dgm:spPr/>
      <dgm:t>
        <a:bodyPr/>
        <a:lstStyle/>
        <a:p>
          <a:endParaRPr lang="en-US"/>
        </a:p>
      </dgm:t>
    </dgm:pt>
    <dgm:pt modelId="{E0E47466-124D-4E57-BDF2-5ECB73144C56}" type="sibTrans" cxnId="{15FFFC00-C016-431E-9F84-1079EE3F7553}">
      <dgm:prSet/>
      <dgm:spPr/>
      <dgm:t>
        <a:bodyPr/>
        <a:lstStyle/>
        <a:p>
          <a:endParaRPr lang="en-US"/>
        </a:p>
      </dgm:t>
    </dgm:pt>
    <dgm:pt modelId="{60D29F3A-B060-41FE-A326-41159CA62BDE}">
      <dgm:prSet phldrT="[Text]" custT="1"/>
      <dgm:spPr/>
      <dgm:t>
        <a:bodyPr/>
        <a:lstStyle/>
        <a:p>
          <a:r>
            <a:rPr lang="en-US" sz="1100"/>
            <a:t>Security</a:t>
          </a:r>
        </a:p>
      </dgm:t>
    </dgm:pt>
    <dgm:pt modelId="{850556C1-3E3C-4953-AA6A-D9BC4D827989}" type="parTrans" cxnId="{789A5B9E-34F6-41CB-883E-4A735638BD4E}">
      <dgm:prSet/>
      <dgm:spPr/>
      <dgm:t>
        <a:bodyPr/>
        <a:lstStyle/>
        <a:p>
          <a:endParaRPr lang="en-US"/>
        </a:p>
      </dgm:t>
    </dgm:pt>
    <dgm:pt modelId="{F821B545-4185-4E74-AE7A-CA2815B03CAD}" type="sibTrans" cxnId="{789A5B9E-34F6-41CB-883E-4A735638BD4E}">
      <dgm:prSet/>
      <dgm:spPr/>
      <dgm:t>
        <a:bodyPr/>
        <a:lstStyle/>
        <a:p>
          <a:endParaRPr lang="en-US"/>
        </a:p>
      </dgm:t>
    </dgm:pt>
    <dgm:pt modelId="{C6330AD7-D244-4D0D-9926-7458272C48C0}">
      <dgm:prSet phldrT="[Text]" custT="1"/>
      <dgm:spPr/>
      <dgm:t>
        <a:bodyPr/>
        <a:lstStyle/>
        <a:p>
          <a:r>
            <a:rPr lang="en-US" sz="1100"/>
            <a:t>Political wellbieng</a:t>
          </a:r>
        </a:p>
      </dgm:t>
    </dgm:pt>
    <dgm:pt modelId="{DA473AB6-731F-4056-9AFE-DB9ADBD74EFC}" type="parTrans" cxnId="{294B1351-7C54-4CF5-B845-861503755A94}">
      <dgm:prSet/>
      <dgm:spPr/>
      <dgm:t>
        <a:bodyPr/>
        <a:lstStyle/>
        <a:p>
          <a:endParaRPr lang="en-US"/>
        </a:p>
      </dgm:t>
    </dgm:pt>
    <dgm:pt modelId="{7879C7A7-BA9E-4DC7-912F-11AA64A118C9}" type="sibTrans" cxnId="{294B1351-7C54-4CF5-B845-861503755A94}">
      <dgm:prSet/>
      <dgm:spPr/>
      <dgm:t>
        <a:bodyPr/>
        <a:lstStyle/>
        <a:p>
          <a:endParaRPr lang="en-US"/>
        </a:p>
      </dgm:t>
    </dgm:pt>
    <dgm:pt modelId="{3E98C35B-C965-4AD2-AE32-DCC42C2D71A1}">
      <dgm:prSet phldrT="[Text]" custT="1"/>
      <dgm:spPr/>
      <dgm:t>
        <a:bodyPr/>
        <a:lstStyle/>
        <a:p>
          <a:r>
            <a:rPr lang="en-US" sz="800"/>
            <a:t>Achive natural output and input resource equilibruim </a:t>
          </a:r>
        </a:p>
      </dgm:t>
    </dgm:pt>
    <dgm:pt modelId="{FDA37EA8-4C87-4FAF-AFF2-001E9D367E21}" type="parTrans" cxnId="{B5C2D960-6514-4B88-95F2-5371C01A9853}">
      <dgm:prSet/>
      <dgm:spPr/>
      <dgm:t>
        <a:bodyPr/>
        <a:lstStyle/>
        <a:p>
          <a:endParaRPr lang="en-US"/>
        </a:p>
      </dgm:t>
    </dgm:pt>
    <dgm:pt modelId="{6BE1024D-77D4-4EA9-A85E-D5D4DFDC1A5D}" type="sibTrans" cxnId="{B5C2D960-6514-4B88-95F2-5371C01A9853}">
      <dgm:prSet/>
      <dgm:spPr/>
      <dgm:t>
        <a:bodyPr/>
        <a:lstStyle/>
        <a:p>
          <a:endParaRPr lang="en-US"/>
        </a:p>
      </dgm:t>
    </dgm:pt>
    <dgm:pt modelId="{DFB7F2F0-2724-4A4B-9F8B-AEF0134EAD80}" type="pres">
      <dgm:prSet presAssocID="{46FA70A7-188B-44BE-8C4B-10F364E026A8}" presName="cycleMatrixDiagram" presStyleCnt="0">
        <dgm:presLayoutVars>
          <dgm:chMax val="1"/>
          <dgm:dir/>
          <dgm:animLvl val="lvl"/>
          <dgm:resizeHandles val="exact"/>
        </dgm:presLayoutVars>
      </dgm:prSet>
      <dgm:spPr/>
    </dgm:pt>
    <dgm:pt modelId="{0D581DB9-E39D-4EDF-AD5D-BD8E559D8279}" type="pres">
      <dgm:prSet presAssocID="{46FA70A7-188B-44BE-8C4B-10F364E026A8}" presName="children" presStyleCnt="0"/>
      <dgm:spPr/>
    </dgm:pt>
    <dgm:pt modelId="{04F02F57-023E-4708-9A98-785E09C7FDBD}" type="pres">
      <dgm:prSet presAssocID="{46FA70A7-188B-44BE-8C4B-10F364E026A8}" presName="child1group" presStyleCnt="0"/>
      <dgm:spPr/>
    </dgm:pt>
    <dgm:pt modelId="{055D40DE-82D7-440C-9D1C-5DC0F1ADE02F}" type="pres">
      <dgm:prSet presAssocID="{46FA70A7-188B-44BE-8C4B-10F364E026A8}" presName="child1" presStyleLbl="bgAcc1" presStyleIdx="0" presStyleCnt="4"/>
      <dgm:spPr/>
    </dgm:pt>
    <dgm:pt modelId="{DC15BC65-4A6A-4F2A-A14B-527865F7010A}" type="pres">
      <dgm:prSet presAssocID="{46FA70A7-188B-44BE-8C4B-10F364E026A8}" presName="child1Text" presStyleLbl="bgAcc1" presStyleIdx="0" presStyleCnt="4">
        <dgm:presLayoutVars>
          <dgm:bulletEnabled val="1"/>
        </dgm:presLayoutVars>
      </dgm:prSet>
      <dgm:spPr/>
    </dgm:pt>
    <dgm:pt modelId="{5A4D51F0-2F4F-4293-8FE7-CF6960365D16}" type="pres">
      <dgm:prSet presAssocID="{46FA70A7-188B-44BE-8C4B-10F364E026A8}" presName="child2group" presStyleCnt="0"/>
      <dgm:spPr/>
    </dgm:pt>
    <dgm:pt modelId="{A0C020B8-B93B-42FB-A060-73FEB384C96D}" type="pres">
      <dgm:prSet presAssocID="{46FA70A7-188B-44BE-8C4B-10F364E026A8}" presName="child2" presStyleLbl="bgAcc1" presStyleIdx="1" presStyleCnt="4"/>
      <dgm:spPr/>
    </dgm:pt>
    <dgm:pt modelId="{D14177B8-FAC6-480C-95E4-DF9AFB42FF8C}" type="pres">
      <dgm:prSet presAssocID="{46FA70A7-188B-44BE-8C4B-10F364E026A8}" presName="child2Text" presStyleLbl="bgAcc1" presStyleIdx="1" presStyleCnt="4">
        <dgm:presLayoutVars>
          <dgm:bulletEnabled val="1"/>
        </dgm:presLayoutVars>
      </dgm:prSet>
      <dgm:spPr/>
    </dgm:pt>
    <dgm:pt modelId="{44182564-2714-4DEE-A33A-97EF86EDE937}" type="pres">
      <dgm:prSet presAssocID="{46FA70A7-188B-44BE-8C4B-10F364E026A8}" presName="child3group" presStyleCnt="0"/>
      <dgm:spPr/>
    </dgm:pt>
    <dgm:pt modelId="{17849B53-91ED-492B-966A-F981B9F6D628}" type="pres">
      <dgm:prSet presAssocID="{46FA70A7-188B-44BE-8C4B-10F364E026A8}" presName="child3" presStyleLbl="bgAcc1" presStyleIdx="2" presStyleCnt="4" custLinFactNeighborX="3012"/>
      <dgm:spPr/>
    </dgm:pt>
    <dgm:pt modelId="{3DCA26E5-D3E4-4F7E-B111-3B177D45B8C6}" type="pres">
      <dgm:prSet presAssocID="{46FA70A7-188B-44BE-8C4B-10F364E026A8}" presName="child3Text" presStyleLbl="bgAcc1" presStyleIdx="2" presStyleCnt="4">
        <dgm:presLayoutVars>
          <dgm:bulletEnabled val="1"/>
        </dgm:presLayoutVars>
      </dgm:prSet>
      <dgm:spPr/>
    </dgm:pt>
    <dgm:pt modelId="{CDD533B2-9642-4206-934E-B96746EA91E5}" type="pres">
      <dgm:prSet presAssocID="{46FA70A7-188B-44BE-8C4B-10F364E026A8}" presName="child4group" presStyleCnt="0"/>
      <dgm:spPr/>
    </dgm:pt>
    <dgm:pt modelId="{0763E453-5755-4215-92B0-A62D70FEBCA9}" type="pres">
      <dgm:prSet presAssocID="{46FA70A7-188B-44BE-8C4B-10F364E026A8}" presName="child4" presStyleLbl="bgAcc1" presStyleIdx="3" presStyleCnt="4"/>
      <dgm:spPr/>
    </dgm:pt>
    <dgm:pt modelId="{4B4620E9-E58D-4193-A1BF-2C0A2C338BB5}" type="pres">
      <dgm:prSet presAssocID="{46FA70A7-188B-44BE-8C4B-10F364E026A8}" presName="child4Text" presStyleLbl="bgAcc1" presStyleIdx="3" presStyleCnt="4">
        <dgm:presLayoutVars>
          <dgm:bulletEnabled val="1"/>
        </dgm:presLayoutVars>
      </dgm:prSet>
      <dgm:spPr/>
    </dgm:pt>
    <dgm:pt modelId="{FB72738E-8D06-4EAA-8D6D-603E4F8A4B46}" type="pres">
      <dgm:prSet presAssocID="{46FA70A7-188B-44BE-8C4B-10F364E026A8}" presName="childPlaceholder" presStyleCnt="0"/>
      <dgm:spPr/>
    </dgm:pt>
    <dgm:pt modelId="{23162120-9C12-4740-92DE-0FBDA22383F4}" type="pres">
      <dgm:prSet presAssocID="{46FA70A7-188B-44BE-8C4B-10F364E026A8}" presName="circle" presStyleCnt="0"/>
      <dgm:spPr/>
    </dgm:pt>
    <dgm:pt modelId="{49355C27-7ABB-4EAD-940B-4F1CBCFC40C3}" type="pres">
      <dgm:prSet presAssocID="{46FA70A7-188B-44BE-8C4B-10F364E026A8}" presName="quadrant1" presStyleLbl="node1" presStyleIdx="0" presStyleCnt="4">
        <dgm:presLayoutVars>
          <dgm:chMax val="1"/>
          <dgm:bulletEnabled val="1"/>
        </dgm:presLayoutVars>
      </dgm:prSet>
      <dgm:spPr/>
    </dgm:pt>
    <dgm:pt modelId="{91005881-BBBF-4160-AA57-D9023CED9DCD}" type="pres">
      <dgm:prSet presAssocID="{46FA70A7-188B-44BE-8C4B-10F364E026A8}" presName="quadrant2" presStyleLbl="node1" presStyleIdx="1" presStyleCnt="4">
        <dgm:presLayoutVars>
          <dgm:chMax val="1"/>
          <dgm:bulletEnabled val="1"/>
        </dgm:presLayoutVars>
      </dgm:prSet>
      <dgm:spPr/>
    </dgm:pt>
    <dgm:pt modelId="{945AC789-6C8D-440D-ACA0-D0B103BEB5B0}" type="pres">
      <dgm:prSet presAssocID="{46FA70A7-188B-44BE-8C4B-10F364E026A8}" presName="quadrant3" presStyleLbl="node1" presStyleIdx="2" presStyleCnt="4">
        <dgm:presLayoutVars>
          <dgm:chMax val="1"/>
          <dgm:bulletEnabled val="1"/>
        </dgm:presLayoutVars>
      </dgm:prSet>
      <dgm:spPr/>
    </dgm:pt>
    <dgm:pt modelId="{6FC6B842-B19B-4F4B-AA96-46B67E41A1AF}" type="pres">
      <dgm:prSet presAssocID="{46FA70A7-188B-44BE-8C4B-10F364E026A8}" presName="quadrant4" presStyleLbl="node1" presStyleIdx="3" presStyleCnt="4">
        <dgm:presLayoutVars>
          <dgm:chMax val="1"/>
          <dgm:bulletEnabled val="1"/>
        </dgm:presLayoutVars>
      </dgm:prSet>
      <dgm:spPr/>
    </dgm:pt>
    <dgm:pt modelId="{1A0C76D1-3A50-4F82-9BD3-EA798043F43E}" type="pres">
      <dgm:prSet presAssocID="{46FA70A7-188B-44BE-8C4B-10F364E026A8}" presName="quadrantPlaceholder" presStyleCnt="0"/>
      <dgm:spPr/>
    </dgm:pt>
    <dgm:pt modelId="{B4DC59A9-942E-4928-83F8-4E336532FF83}" type="pres">
      <dgm:prSet presAssocID="{46FA70A7-188B-44BE-8C4B-10F364E026A8}" presName="center1" presStyleLbl="fgShp" presStyleIdx="0" presStyleCnt="2"/>
      <dgm:spPr/>
    </dgm:pt>
    <dgm:pt modelId="{9B85066C-E51B-49D2-8052-9DAD2D6AB372}" type="pres">
      <dgm:prSet presAssocID="{46FA70A7-188B-44BE-8C4B-10F364E026A8}" presName="center2" presStyleLbl="fgShp" presStyleIdx="1" presStyleCnt="2"/>
      <dgm:spPr/>
    </dgm:pt>
  </dgm:ptLst>
  <dgm:cxnLst>
    <dgm:cxn modelId="{15FFFC00-C016-431E-9F84-1079EE3F7553}" srcId="{20E66BC6-1C52-4448-A819-25AE1FB622B9}" destId="{3CEC1F66-2465-4A5F-BAC4-AF92F3AB40C6}" srcOrd="1" destOrd="0" parTransId="{168E9F5F-9028-4DE9-9BCB-A44FD2410AE8}" sibTransId="{E0E47466-124D-4E57-BDF2-5ECB73144C56}"/>
    <dgm:cxn modelId="{83441C03-8E91-45FC-BFC9-6F12C933C5AD}" srcId="{46FA70A7-188B-44BE-8C4B-10F364E026A8}" destId="{E2828D71-5922-4173-BCD7-5B5B74B31201}" srcOrd="1" destOrd="0" parTransId="{327F8D0C-F195-4324-A3EE-A05ED8581ED2}" sibTransId="{17F7A166-5815-4124-84CD-49315542A959}"/>
    <dgm:cxn modelId="{7065AD08-C1A3-4A4D-9A52-94D944EBA8D3}" srcId="{46FA70A7-188B-44BE-8C4B-10F364E026A8}" destId="{7D3EAB72-3543-4E9E-BF3D-A2749E5910CF}" srcOrd="2" destOrd="0" parTransId="{9E4C9D28-EF16-456E-A557-9F50B9C520AF}" sibTransId="{C12276D7-CBDE-44F9-A88D-62608B55F2DA}"/>
    <dgm:cxn modelId="{71CB0C0C-F029-4155-B3E1-E98B1E59879A}" type="presOf" srcId="{E2828D71-5922-4173-BCD7-5B5B74B31201}" destId="{91005881-BBBF-4160-AA57-D9023CED9DCD}" srcOrd="0" destOrd="0" presId="urn:microsoft.com/office/officeart/2005/8/layout/cycle4"/>
    <dgm:cxn modelId="{B432671E-C2A6-4209-9BC7-DC8C01688652}" type="presOf" srcId="{C1BB5B58-72FF-4F3F-806A-0C370B1F516C}" destId="{0763E453-5755-4215-92B0-A62D70FEBCA9}" srcOrd="0" destOrd="0" presId="urn:microsoft.com/office/officeart/2005/8/layout/cycle4"/>
    <dgm:cxn modelId="{A0E7B41E-000D-467B-80BB-33BC722AF08A}" srcId="{1D76BB2D-EB39-45F4-80E2-DFA6EE799960}" destId="{C1BB5B58-72FF-4F3F-806A-0C370B1F516C}" srcOrd="0" destOrd="0" parTransId="{222AB235-E6F9-47DE-9903-47668FA01F44}" sibTransId="{FE55B5A8-3201-4186-AEA8-C9CF2362AFF7}"/>
    <dgm:cxn modelId="{483AA024-7F51-4577-B4C3-7AAB1A6B12F9}" type="presOf" srcId="{46FA70A7-188B-44BE-8C4B-10F364E026A8}" destId="{DFB7F2F0-2724-4A4B-9F8B-AEF0134EAD80}" srcOrd="0" destOrd="0" presId="urn:microsoft.com/office/officeart/2005/8/layout/cycle4"/>
    <dgm:cxn modelId="{6F26082F-FC21-4407-B5B3-D99C4D14FD6D}" type="presOf" srcId="{396CB126-1A2E-49F8-8417-04BBA6B22664}" destId="{17849B53-91ED-492B-966A-F981B9F6D628}" srcOrd="0" destOrd="0" presId="urn:microsoft.com/office/officeart/2005/8/layout/cycle4"/>
    <dgm:cxn modelId="{39E43C32-2704-46CD-A007-9A3CD96CAF1D}" type="presOf" srcId="{DCE83B3D-C92E-4C0D-8F80-A4EE02CCFAC1}" destId="{A0C020B8-B93B-42FB-A060-73FEB384C96D}" srcOrd="0" destOrd="0" presId="urn:microsoft.com/office/officeart/2005/8/layout/cycle4"/>
    <dgm:cxn modelId="{5682693D-A00B-442A-9E7D-37689E0E73E5}" type="presOf" srcId="{C1BB5B58-72FF-4F3F-806A-0C370B1F516C}" destId="{4B4620E9-E58D-4193-A1BF-2C0A2C338BB5}" srcOrd="1" destOrd="0" presId="urn:microsoft.com/office/officeart/2005/8/layout/cycle4"/>
    <dgm:cxn modelId="{B5C2D960-6514-4B88-95F2-5371C01A9853}" srcId="{7D3EAB72-3543-4E9E-BF3D-A2749E5910CF}" destId="{3E98C35B-C965-4AD2-AE32-DCC42C2D71A1}" srcOrd="1" destOrd="0" parTransId="{FDA37EA8-4C87-4FAF-AFF2-001E9D367E21}" sibTransId="{6BE1024D-77D4-4EA9-A85E-D5D4DFDC1A5D}"/>
    <dgm:cxn modelId="{6B55CD69-EF96-4D39-AC70-D535B7EB1361}" type="presOf" srcId="{C6330AD7-D244-4D0D-9926-7458272C48C0}" destId="{0763E453-5755-4215-92B0-A62D70FEBCA9}" srcOrd="0" destOrd="2" presId="urn:microsoft.com/office/officeart/2005/8/layout/cycle4"/>
    <dgm:cxn modelId="{294B1351-7C54-4CF5-B845-861503755A94}" srcId="{1D76BB2D-EB39-45F4-80E2-DFA6EE799960}" destId="{C6330AD7-D244-4D0D-9926-7458272C48C0}" srcOrd="2" destOrd="0" parTransId="{DA473AB6-731F-4056-9AFE-DB9ADBD74EFC}" sibTransId="{7879C7A7-BA9E-4DC7-912F-11AA64A118C9}"/>
    <dgm:cxn modelId="{2A792773-63C0-49C4-A8E7-71D5A552E4C0}" srcId="{20E66BC6-1C52-4448-A819-25AE1FB622B9}" destId="{A3F8458C-CFB4-4B01-828B-442FB74F7F63}" srcOrd="0" destOrd="0" parTransId="{114A5880-8BD4-4246-9180-66ACF331F588}" sibTransId="{88B00D11-C281-4120-B489-018DFB3370B8}"/>
    <dgm:cxn modelId="{F9E2E182-980E-41F4-980C-5BBB9CAF8BDF}" type="presOf" srcId="{7D3EAB72-3543-4E9E-BF3D-A2749E5910CF}" destId="{945AC789-6C8D-440D-ACA0-D0B103BEB5B0}" srcOrd="0" destOrd="0" presId="urn:microsoft.com/office/officeart/2005/8/layout/cycle4"/>
    <dgm:cxn modelId="{41EC9A84-4ECA-467A-919A-EB4BC5F6CC00}" type="presOf" srcId="{3E98C35B-C965-4AD2-AE32-DCC42C2D71A1}" destId="{17849B53-91ED-492B-966A-F981B9F6D628}" srcOrd="0" destOrd="1" presId="urn:microsoft.com/office/officeart/2005/8/layout/cycle4"/>
    <dgm:cxn modelId="{CB4E1A86-CB02-4D72-9C0C-87CBFE35E982}" type="presOf" srcId="{60D29F3A-B060-41FE-A326-41159CA62BDE}" destId="{4B4620E9-E58D-4193-A1BF-2C0A2C338BB5}" srcOrd="1" destOrd="1" presId="urn:microsoft.com/office/officeart/2005/8/layout/cycle4"/>
    <dgm:cxn modelId="{3B6CE597-C115-48F5-8D61-A8E105C78973}" type="presOf" srcId="{C6330AD7-D244-4D0D-9926-7458272C48C0}" destId="{4B4620E9-E58D-4193-A1BF-2C0A2C338BB5}" srcOrd="1" destOrd="2" presId="urn:microsoft.com/office/officeart/2005/8/layout/cycle4"/>
    <dgm:cxn modelId="{E0217E99-BA6D-49E6-9E6E-E98779C0087B}" type="presOf" srcId="{A3F8458C-CFB4-4B01-828B-442FB74F7F63}" destId="{055D40DE-82D7-440C-9D1C-5DC0F1ADE02F}" srcOrd="0" destOrd="0" presId="urn:microsoft.com/office/officeart/2005/8/layout/cycle4"/>
    <dgm:cxn modelId="{E2B9BD99-01CF-4753-B367-58F2D71F44AD}" srcId="{46FA70A7-188B-44BE-8C4B-10F364E026A8}" destId="{20E66BC6-1C52-4448-A819-25AE1FB622B9}" srcOrd="0" destOrd="0" parTransId="{9219EE9C-8C42-470A-89FB-7D1E2741C1A7}" sibTransId="{E6D873D2-97B5-465B-BF71-95B39231F8F7}"/>
    <dgm:cxn modelId="{ADF4279D-207E-4EB4-97CA-C238EB1DCDE6}" type="presOf" srcId="{396CB126-1A2E-49F8-8417-04BBA6B22664}" destId="{3DCA26E5-D3E4-4F7E-B111-3B177D45B8C6}" srcOrd="1" destOrd="0" presId="urn:microsoft.com/office/officeart/2005/8/layout/cycle4"/>
    <dgm:cxn modelId="{789A5B9E-34F6-41CB-883E-4A735638BD4E}" srcId="{1D76BB2D-EB39-45F4-80E2-DFA6EE799960}" destId="{60D29F3A-B060-41FE-A326-41159CA62BDE}" srcOrd="1" destOrd="0" parTransId="{850556C1-3E3C-4953-AA6A-D9BC4D827989}" sibTransId="{F821B545-4185-4E74-AE7A-CA2815B03CAD}"/>
    <dgm:cxn modelId="{3FE3B2A5-1C1E-4209-81F0-9DC7B2F37C8B}" type="presOf" srcId="{DCE83B3D-C92E-4C0D-8F80-A4EE02CCFAC1}" destId="{D14177B8-FAC6-480C-95E4-DF9AFB42FF8C}" srcOrd="1" destOrd="0" presId="urn:microsoft.com/office/officeart/2005/8/layout/cycle4"/>
    <dgm:cxn modelId="{4FA36CAF-B28F-44B7-B612-1F498361DEB5}" type="presOf" srcId="{60D29F3A-B060-41FE-A326-41159CA62BDE}" destId="{0763E453-5755-4215-92B0-A62D70FEBCA9}" srcOrd="0" destOrd="1" presId="urn:microsoft.com/office/officeart/2005/8/layout/cycle4"/>
    <dgm:cxn modelId="{96BDCDBA-EFBF-4D3E-8E9E-87F9FDFF8E48}" srcId="{E2828D71-5922-4173-BCD7-5B5B74B31201}" destId="{DCE83B3D-C92E-4C0D-8F80-A4EE02CCFAC1}" srcOrd="0" destOrd="0" parTransId="{CFE99EB4-667C-44BA-A3DA-ED3FF81364EE}" sibTransId="{9A514E5C-8D79-4979-BA64-16158408412B}"/>
    <dgm:cxn modelId="{B8A096BB-DB06-4FAE-952B-4033766E9E15}" type="presOf" srcId="{A3F8458C-CFB4-4B01-828B-442FB74F7F63}" destId="{DC15BC65-4A6A-4F2A-A14B-527865F7010A}" srcOrd="1" destOrd="0" presId="urn:microsoft.com/office/officeart/2005/8/layout/cycle4"/>
    <dgm:cxn modelId="{BD51AEBD-91E8-4A51-836D-0466B990810E}" type="presOf" srcId="{3CEC1F66-2465-4A5F-BAC4-AF92F3AB40C6}" destId="{DC15BC65-4A6A-4F2A-A14B-527865F7010A}" srcOrd="1" destOrd="1" presId="urn:microsoft.com/office/officeart/2005/8/layout/cycle4"/>
    <dgm:cxn modelId="{2FD73FCB-AC3A-418A-8039-D49B29555925}" type="presOf" srcId="{3E98C35B-C965-4AD2-AE32-DCC42C2D71A1}" destId="{3DCA26E5-D3E4-4F7E-B111-3B177D45B8C6}" srcOrd="1" destOrd="1" presId="urn:microsoft.com/office/officeart/2005/8/layout/cycle4"/>
    <dgm:cxn modelId="{06D951D1-7C1F-4A51-B463-4FB158528AC8}" srcId="{7D3EAB72-3543-4E9E-BF3D-A2749E5910CF}" destId="{396CB126-1A2E-49F8-8417-04BBA6B22664}" srcOrd="0" destOrd="0" parTransId="{EB75171A-5694-4E13-AD9D-CE233DD50D8E}" sibTransId="{E99D246C-BBF3-4BD6-87D8-8870505D5C65}"/>
    <dgm:cxn modelId="{423046DE-D9C0-4B53-9E0C-8993F918BF5C}" type="presOf" srcId="{20E66BC6-1C52-4448-A819-25AE1FB622B9}" destId="{49355C27-7ABB-4EAD-940B-4F1CBCFC40C3}" srcOrd="0" destOrd="0" presId="urn:microsoft.com/office/officeart/2005/8/layout/cycle4"/>
    <dgm:cxn modelId="{F6702AE2-A9D8-4998-B778-DDDD94243E53}" type="presOf" srcId="{3CEC1F66-2465-4A5F-BAC4-AF92F3AB40C6}" destId="{055D40DE-82D7-440C-9D1C-5DC0F1ADE02F}" srcOrd="0" destOrd="1" presId="urn:microsoft.com/office/officeart/2005/8/layout/cycle4"/>
    <dgm:cxn modelId="{947EE6E2-81E3-445F-A8CC-E88CC630AE43}" srcId="{46FA70A7-188B-44BE-8C4B-10F364E026A8}" destId="{1D76BB2D-EB39-45F4-80E2-DFA6EE799960}" srcOrd="3" destOrd="0" parTransId="{FF2DD4AF-68A6-462E-95D6-5C4C717067E2}" sibTransId="{34330D9F-F462-46E8-82A7-3C0C3C7D0437}"/>
    <dgm:cxn modelId="{B8DA46FD-5B46-4968-9B49-2D719EB8CE05}" type="presOf" srcId="{1D76BB2D-EB39-45F4-80E2-DFA6EE799960}" destId="{6FC6B842-B19B-4F4B-AA96-46B67E41A1AF}" srcOrd="0" destOrd="0" presId="urn:microsoft.com/office/officeart/2005/8/layout/cycle4"/>
    <dgm:cxn modelId="{95F85CCB-C574-4E71-942E-FB93806107CA}" type="presParOf" srcId="{DFB7F2F0-2724-4A4B-9F8B-AEF0134EAD80}" destId="{0D581DB9-E39D-4EDF-AD5D-BD8E559D8279}" srcOrd="0" destOrd="0" presId="urn:microsoft.com/office/officeart/2005/8/layout/cycle4"/>
    <dgm:cxn modelId="{FF8454AA-9DCF-44E4-94A8-1D2F33DB0581}" type="presParOf" srcId="{0D581DB9-E39D-4EDF-AD5D-BD8E559D8279}" destId="{04F02F57-023E-4708-9A98-785E09C7FDBD}" srcOrd="0" destOrd="0" presId="urn:microsoft.com/office/officeart/2005/8/layout/cycle4"/>
    <dgm:cxn modelId="{BA47CA5A-9A94-4BED-B126-FA57DFB6092C}" type="presParOf" srcId="{04F02F57-023E-4708-9A98-785E09C7FDBD}" destId="{055D40DE-82D7-440C-9D1C-5DC0F1ADE02F}" srcOrd="0" destOrd="0" presId="urn:microsoft.com/office/officeart/2005/8/layout/cycle4"/>
    <dgm:cxn modelId="{E697FDEB-A6DB-42F7-852C-5E327D85B668}" type="presParOf" srcId="{04F02F57-023E-4708-9A98-785E09C7FDBD}" destId="{DC15BC65-4A6A-4F2A-A14B-527865F7010A}" srcOrd="1" destOrd="0" presId="urn:microsoft.com/office/officeart/2005/8/layout/cycle4"/>
    <dgm:cxn modelId="{1466E563-F9DA-432F-95E8-B150C7F033D6}" type="presParOf" srcId="{0D581DB9-E39D-4EDF-AD5D-BD8E559D8279}" destId="{5A4D51F0-2F4F-4293-8FE7-CF6960365D16}" srcOrd="1" destOrd="0" presId="urn:microsoft.com/office/officeart/2005/8/layout/cycle4"/>
    <dgm:cxn modelId="{FCFACEAA-0365-4732-97A7-80A9EF6C09DC}" type="presParOf" srcId="{5A4D51F0-2F4F-4293-8FE7-CF6960365D16}" destId="{A0C020B8-B93B-42FB-A060-73FEB384C96D}" srcOrd="0" destOrd="0" presId="urn:microsoft.com/office/officeart/2005/8/layout/cycle4"/>
    <dgm:cxn modelId="{C46C25FF-7B06-458A-B51B-73B6B4636421}" type="presParOf" srcId="{5A4D51F0-2F4F-4293-8FE7-CF6960365D16}" destId="{D14177B8-FAC6-480C-95E4-DF9AFB42FF8C}" srcOrd="1" destOrd="0" presId="urn:microsoft.com/office/officeart/2005/8/layout/cycle4"/>
    <dgm:cxn modelId="{B2ADC212-A378-4CA9-A0B8-07EDC32FE571}" type="presParOf" srcId="{0D581DB9-E39D-4EDF-AD5D-BD8E559D8279}" destId="{44182564-2714-4DEE-A33A-97EF86EDE937}" srcOrd="2" destOrd="0" presId="urn:microsoft.com/office/officeart/2005/8/layout/cycle4"/>
    <dgm:cxn modelId="{2BDC2BA0-F34C-4640-92E1-AFB3D0006290}" type="presParOf" srcId="{44182564-2714-4DEE-A33A-97EF86EDE937}" destId="{17849B53-91ED-492B-966A-F981B9F6D628}" srcOrd="0" destOrd="0" presId="urn:microsoft.com/office/officeart/2005/8/layout/cycle4"/>
    <dgm:cxn modelId="{F79AB2CF-DC8E-4B4A-A485-FCD5679B3E65}" type="presParOf" srcId="{44182564-2714-4DEE-A33A-97EF86EDE937}" destId="{3DCA26E5-D3E4-4F7E-B111-3B177D45B8C6}" srcOrd="1" destOrd="0" presId="urn:microsoft.com/office/officeart/2005/8/layout/cycle4"/>
    <dgm:cxn modelId="{236C02DC-5AAA-4F5A-9068-4ADBB9C59378}" type="presParOf" srcId="{0D581DB9-E39D-4EDF-AD5D-BD8E559D8279}" destId="{CDD533B2-9642-4206-934E-B96746EA91E5}" srcOrd="3" destOrd="0" presId="urn:microsoft.com/office/officeart/2005/8/layout/cycle4"/>
    <dgm:cxn modelId="{718F83A0-29B4-4F33-B253-AC47A6A2B352}" type="presParOf" srcId="{CDD533B2-9642-4206-934E-B96746EA91E5}" destId="{0763E453-5755-4215-92B0-A62D70FEBCA9}" srcOrd="0" destOrd="0" presId="urn:microsoft.com/office/officeart/2005/8/layout/cycle4"/>
    <dgm:cxn modelId="{1BAE2B89-19D2-499A-B7B4-E31686098288}" type="presParOf" srcId="{CDD533B2-9642-4206-934E-B96746EA91E5}" destId="{4B4620E9-E58D-4193-A1BF-2C0A2C338BB5}" srcOrd="1" destOrd="0" presId="urn:microsoft.com/office/officeart/2005/8/layout/cycle4"/>
    <dgm:cxn modelId="{26224E46-43BB-4900-950D-C9AACC8586C7}" type="presParOf" srcId="{0D581DB9-E39D-4EDF-AD5D-BD8E559D8279}" destId="{FB72738E-8D06-4EAA-8D6D-603E4F8A4B46}" srcOrd="4" destOrd="0" presId="urn:microsoft.com/office/officeart/2005/8/layout/cycle4"/>
    <dgm:cxn modelId="{6BE56ECC-71D2-4186-ACB3-00A989E14B24}" type="presParOf" srcId="{DFB7F2F0-2724-4A4B-9F8B-AEF0134EAD80}" destId="{23162120-9C12-4740-92DE-0FBDA22383F4}" srcOrd="1" destOrd="0" presId="urn:microsoft.com/office/officeart/2005/8/layout/cycle4"/>
    <dgm:cxn modelId="{0A164508-DBA0-4BA4-A3A4-C10FC14AF1AA}" type="presParOf" srcId="{23162120-9C12-4740-92DE-0FBDA22383F4}" destId="{49355C27-7ABB-4EAD-940B-4F1CBCFC40C3}" srcOrd="0" destOrd="0" presId="urn:microsoft.com/office/officeart/2005/8/layout/cycle4"/>
    <dgm:cxn modelId="{3172B215-DEC0-43F1-AB05-449E46C27156}" type="presParOf" srcId="{23162120-9C12-4740-92DE-0FBDA22383F4}" destId="{91005881-BBBF-4160-AA57-D9023CED9DCD}" srcOrd="1" destOrd="0" presId="urn:microsoft.com/office/officeart/2005/8/layout/cycle4"/>
    <dgm:cxn modelId="{C1CD3A32-9A3C-4060-9911-B5F9091F863C}" type="presParOf" srcId="{23162120-9C12-4740-92DE-0FBDA22383F4}" destId="{945AC789-6C8D-440D-ACA0-D0B103BEB5B0}" srcOrd="2" destOrd="0" presId="urn:microsoft.com/office/officeart/2005/8/layout/cycle4"/>
    <dgm:cxn modelId="{5124CF18-4609-4844-A887-5226C891D9D6}" type="presParOf" srcId="{23162120-9C12-4740-92DE-0FBDA22383F4}" destId="{6FC6B842-B19B-4F4B-AA96-46B67E41A1AF}" srcOrd="3" destOrd="0" presId="urn:microsoft.com/office/officeart/2005/8/layout/cycle4"/>
    <dgm:cxn modelId="{D5B8EFDD-989F-4F74-8E45-876B11D84DB4}" type="presParOf" srcId="{23162120-9C12-4740-92DE-0FBDA22383F4}" destId="{1A0C76D1-3A50-4F82-9BD3-EA798043F43E}" srcOrd="4" destOrd="0" presId="urn:microsoft.com/office/officeart/2005/8/layout/cycle4"/>
    <dgm:cxn modelId="{CCD4248E-144D-4437-9686-48B8202702CC}" type="presParOf" srcId="{DFB7F2F0-2724-4A4B-9F8B-AEF0134EAD80}" destId="{B4DC59A9-942E-4928-83F8-4E336532FF83}" srcOrd="2" destOrd="0" presId="urn:microsoft.com/office/officeart/2005/8/layout/cycle4"/>
    <dgm:cxn modelId="{7FCB3FAC-4ABE-4441-97C5-313FE131DD9C}" type="presParOf" srcId="{DFB7F2F0-2724-4A4B-9F8B-AEF0134EAD80}" destId="{9B85066C-E51B-49D2-8052-9DAD2D6AB372}" srcOrd="3" destOrd="0" presId="urn:microsoft.com/office/officeart/2005/8/layout/cycle4"/>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849B53-91ED-492B-966A-F981B9F6D628}">
      <dsp:nvSpPr>
        <dsp:cNvPr id="0" name=""/>
        <dsp:cNvSpPr/>
      </dsp:nvSpPr>
      <dsp:spPr>
        <a:xfrm>
          <a:off x="3290082" y="2176272"/>
          <a:ext cx="1580997" cy="1024128"/>
        </a:xfrm>
        <a:prstGeom prst="roundRect">
          <a:avLst>
            <a:gd name="adj" fmla="val 10000"/>
          </a:avLst>
        </a:prstGeom>
        <a:solidFill>
          <a:schemeClr val="lt1">
            <a:alpha val="90000"/>
            <a:hueOff val="0"/>
            <a:satOff val="0"/>
            <a:lumOff val="0"/>
            <a:alphaOff val="0"/>
          </a:schemeClr>
        </a:solidFill>
        <a:ln w="6350" cap="flat" cmpd="sng" algn="ctr">
          <a:solidFill>
            <a:schemeClr val="accent1">
              <a:shade val="50000"/>
              <a:hueOff val="402493"/>
              <a:satOff val="-9802"/>
              <a:lumOff val="42896"/>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55600">
            <a:lnSpc>
              <a:spcPct val="90000"/>
            </a:lnSpc>
            <a:spcBef>
              <a:spcPct val="0"/>
            </a:spcBef>
            <a:spcAft>
              <a:spcPct val="15000"/>
            </a:spcAft>
            <a:buChar char="•"/>
          </a:pPr>
          <a:r>
            <a:rPr lang="en-US" sz="800" kern="1200"/>
            <a:t>Effecient Use of natural resources</a:t>
          </a:r>
        </a:p>
        <a:p>
          <a:pPr marL="57150" lvl="1" indent="-57150" algn="l" defTabSz="355600">
            <a:lnSpc>
              <a:spcPct val="90000"/>
            </a:lnSpc>
            <a:spcBef>
              <a:spcPct val="0"/>
            </a:spcBef>
            <a:spcAft>
              <a:spcPct val="15000"/>
            </a:spcAft>
            <a:buChar char="•"/>
          </a:pPr>
          <a:r>
            <a:rPr lang="en-US" sz="800" kern="1200"/>
            <a:t>Achive natural output and input resource equilibruim </a:t>
          </a:r>
        </a:p>
      </dsp:txBody>
      <dsp:txXfrm>
        <a:off x="3786878" y="2454800"/>
        <a:ext cx="1061704" cy="723102"/>
      </dsp:txXfrm>
    </dsp:sp>
    <dsp:sp modelId="{0763E453-5755-4215-92B0-A62D70FEBCA9}">
      <dsp:nvSpPr>
        <dsp:cNvPr id="0" name=""/>
        <dsp:cNvSpPr/>
      </dsp:nvSpPr>
      <dsp:spPr>
        <a:xfrm>
          <a:off x="662939" y="2176272"/>
          <a:ext cx="1580997" cy="1024128"/>
        </a:xfrm>
        <a:prstGeom prst="roundRect">
          <a:avLst>
            <a:gd name="adj" fmla="val 10000"/>
          </a:avLst>
        </a:prstGeom>
        <a:solidFill>
          <a:schemeClr val="lt1">
            <a:alpha val="90000"/>
            <a:hueOff val="0"/>
            <a:satOff val="0"/>
            <a:lumOff val="0"/>
            <a:alphaOff val="0"/>
          </a:schemeClr>
        </a:solidFill>
        <a:ln w="6350" cap="flat" cmpd="sng" algn="ctr">
          <a:solidFill>
            <a:schemeClr val="accent1">
              <a:shade val="50000"/>
              <a:hueOff val="201247"/>
              <a:satOff val="-4901"/>
              <a:lumOff val="21448"/>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en-US" sz="1100" kern="1200"/>
            <a:t>Law and order</a:t>
          </a:r>
        </a:p>
        <a:p>
          <a:pPr marL="57150" lvl="1" indent="-57150" algn="l" defTabSz="488950">
            <a:lnSpc>
              <a:spcPct val="90000"/>
            </a:lnSpc>
            <a:spcBef>
              <a:spcPct val="0"/>
            </a:spcBef>
            <a:spcAft>
              <a:spcPct val="15000"/>
            </a:spcAft>
            <a:buChar char="•"/>
          </a:pPr>
          <a:r>
            <a:rPr lang="en-US" sz="1100" kern="1200"/>
            <a:t>Security</a:t>
          </a:r>
        </a:p>
        <a:p>
          <a:pPr marL="57150" lvl="1" indent="-57150" algn="l" defTabSz="488950">
            <a:lnSpc>
              <a:spcPct val="90000"/>
            </a:lnSpc>
            <a:spcBef>
              <a:spcPct val="0"/>
            </a:spcBef>
            <a:spcAft>
              <a:spcPct val="15000"/>
            </a:spcAft>
            <a:buChar char="•"/>
          </a:pPr>
          <a:r>
            <a:rPr lang="en-US" sz="1100" kern="1200"/>
            <a:t>Political wellbieng</a:t>
          </a:r>
        </a:p>
      </dsp:txBody>
      <dsp:txXfrm>
        <a:off x="685436" y="2454800"/>
        <a:ext cx="1061704" cy="723102"/>
      </dsp:txXfrm>
    </dsp:sp>
    <dsp:sp modelId="{A0C020B8-B93B-42FB-A060-73FEB384C96D}">
      <dsp:nvSpPr>
        <dsp:cNvPr id="0" name=""/>
        <dsp:cNvSpPr/>
      </dsp:nvSpPr>
      <dsp:spPr>
        <a:xfrm>
          <a:off x="3242462" y="0"/>
          <a:ext cx="1580997" cy="1024128"/>
        </a:xfrm>
        <a:prstGeom prst="roundRect">
          <a:avLst>
            <a:gd name="adj" fmla="val 10000"/>
          </a:avLst>
        </a:prstGeom>
        <a:solidFill>
          <a:schemeClr val="lt1">
            <a:alpha val="90000"/>
            <a:hueOff val="0"/>
            <a:satOff val="0"/>
            <a:lumOff val="0"/>
            <a:alphaOff val="0"/>
          </a:schemeClr>
        </a:solidFill>
        <a:ln w="6350" cap="flat" cmpd="sng" algn="ctr">
          <a:solidFill>
            <a:schemeClr val="accent1">
              <a:shade val="50000"/>
              <a:hueOff val="201247"/>
              <a:satOff val="-4901"/>
              <a:lumOff val="21448"/>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en-US" sz="1100" kern="1200"/>
            <a:t>Effecient use of Resources</a:t>
          </a:r>
        </a:p>
      </dsp:txBody>
      <dsp:txXfrm>
        <a:off x="3739258" y="22497"/>
        <a:ext cx="1061704" cy="723102"/>
      </dsp:txXfrm>
    </dsp:sp>
    <dsp:sp modelId="{055D40DE-82D7-440C-9D1C-5DC0F1ADE02F}">
      <dsp:nvSpPr>
        <dsp:cNvPr id="0" name=""/>
        <dsp:cNvSpPr/>
      </dsp:nvSpPr>
      <dsp:spPr>
        <a:xfrm>
          <a:off x="662939" y="0"/>
          <a:ext cx="1580997" cy="1024128"/>
        </a:xfrm>
        <a:prstGeom prst="roundRect">
          <a:avLst>
            <a:gd name="adj" fmla="val 10000"/>
          </a:avLst>
        </a:prstGeom>
        <a:solidFill>
          <a:schemeClr val="lt1">
            <a:alpha val="90000"/>
            <a:hueOff val="0"/>
            <a:satOff val="0"/>
            <a:lumOff val="0"/>
            <a:alphaOff val="0"/>
          </a:schemeClr>
        </a:solidFill>
        <a:ln w="6350" cap="flat" cmpd="sng" algn="ctr">
          <a:solidFill>
            <a:schemeClr val="accent1">
              <a:shade val="50000"/>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en-US" sz="1100" kern="1200"/>
            <a:t>Eliminate poverty</a:t>
          </a:r>
        </a:p>
        <a:p>
          <a:pPr marL="57150" lvl="1" indent="-57150" algn="l" defTabSz="488950">
            <a:lnSpc>
              <a:spcPct val="90000"/>
            </a:lnSpc>
            <a:spcBef>
              <a:spcPct val="0"/>
            </a:spcBef>
            <a:spcAft>
              <a:spcPct val="15000"/>
            </a:spcAft>
            <a:buChar char="•"/>
          </a:pPr>
          <a:r>
            <a:rPr lang="en-US" sz="1100" kern="1200"/>
            <a:t>Increase social wellbieng</a:t>
          </a:r>
        </a:p>
      </dsp:txBody>
      <dsp:txXfrm>
        <a:off x="685436" y="22497"/>
        <a:ext cx="1061704" cy="723102"/>
      </dsp:txXfrm>
    </dsp:sp>
    <dsp:sp modelId="{49355C27-7ABB-4EAD-940B-4F1CBCFC40C3}">
      <dsp:nvSpPr>
        <dsp:cNvPr id="0" name=""/>
        <dsp:cNvSpPr/>
      </dsp:nvSpPr>
      <dsp:spPr>
        <a:xfrm>
          <a:off x="1325422" y="182422"/>
          <a:ext cx="1385773" cy="1385773"/>
        </a:xfrm>
        <a:prstGeom prst="pieWedge">
          <a:avLst/>
        </a:prstGeom>
        <a:gradFill rotWithShape="0">
          <a:gsLst>
            <a:gs pos="0">
              <a:schemeClr val="accent1">
                <a:shade val="50000"/>
                <a:hueOff val="0"/>
                <a:satOff val="0"/>
                <a:lumOff val="0"/>
                <a:alphaOff val="0"/>
                <a:satMod val="103000"/>
                <a:lumMod val="102000"/>
                <a:tint val="94000"/>
              </a:schemeClr>
            </a:gs>
            <a:gs pos="50000">
              <a:schemeClr val="accent1">
                <a:shade val="50000"/>
                <a:hueOff val="0"/>
                <a:satOff val="0"/>
                <a:lumOff val="0"/>
                <a:alphaOff val="0"/>
                <a:satMod val="110000"/>
                <a:lumMod val="100000"/>
                <a:shade val="100000"/>
              </a:schemeClr>
            </a:gs>
            <a:gs pos="100000">
              <a:schemeClr val="accent1">
                <a:shade val="50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Social	</a:t>
          </a:r>
        </a:p>
      </dsp:txBody>
      <dsp:txXfrm>
        <a:off x="1731306" y="588306"/>
        <a:ext cx="979889" cy="979889"/>
      </dsp:txXfrm>
    </dsp:sp>
    <dsp:sp modelId="{91005881-BBBF-4160-AA57-D9023CED9DCD}">
      <dsp:nvSpPr>
        <dsp:cNvPr id="0" name=""/>
        <dsp:cNvSpPr/>
      </dsp:nvSpPr>
      <dsp:spPr>
        <a:xfrm rot="5400000">
          <a:off x="2775204" y="182422"/>
          <a:ext cx="1385773" cy="1385773"/>
        </a:xfrm>
        <a:prstGeom prst="pieWedge">
          <a:avLst/>
        </a:prstGeom>
        <a:gradFill rotWithShape="0">
          <a:gsLst>
            <a:gs pos="0">
              <a:schemeClr val="accent1">
                <a:shade val="50000"/>
                <a:hueOff val="201247"/>
                <a:satOff val="-4901"/>
                <a:lumOff val="21448"/>
                <a:alphaOff val="0"/>
                <a:satMod val="103000"/>
                <a:lumMod val="102000"/>
                <a:tint val="94000"/>
              </a:schemeClr>
            </a:gs>
            <a:gs pos="50000">
              <a:schemeClr val="accent1">
                <a:shade val="50000"/>
                <a:hueOff val="201247"/>
                <a:satOff val="-4901"/>
                <a:lumOff val="21448"/>
                <a:alphaOff val="0"/>
                <a:satMod val="110000"/>
                <a:lumMod val="100000"/>
                <a:shade val="100000"/>
              </a:schemeClr>
            </a:gs>
            <a:gs pos="100000">
              <a:schemeClr val="accent1">
                <a:shade val="50000"/>
                <a:hueOff val="201247"/>
                <a:satOff val="-4901"/>
                <a:lumOff val="2144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Economic</a:t>
          </a:r>
        </a:p>
      </dsp:txBody>
      <dsp:txXfrm rot="-5400000">
        <a:off x="2775204" y="588306"/>
        <a:ext cx="979889" cy="979889"/>
      </dsp:txXfrm>
    </dsp:sp>
    <dsp:sp modelId="{945AC789-6C8D-440D-ACA0-D0B103BEB5B0}">
      <dsp:nvSpPr>
        <dsp:cNvPr id="0" name=""/>
        <dsp:cNvSpPr/>
      </dsp:nvSpPr>
      <dsp:spPr>
        <a:xfrm rot="10800000">
          <a:off x="2775204" y="1632204"/>
          <a:ext cx="1385773" cy="1385773"/>
        </a:xfrm>
        <a:prstGeom prst="pieWedge">
          <a:avLst/>
        </a:prstGeom>
        <a:gradFill rotWithShape="0">
          <a:gsLst>
            <a:gs pos="0">
              <a:schemeClr val="accent1">
                <a:shade val="50000"/>
                <a:hueOff val="402493"/>
                <a:satOff val="-9802"/>
                <a:lumOff val="42896"/>
                <a:alphaOff val="0"/>
                <a:satMod val="103000"/>
                <a:lumMod val="102000"/>
                <a:tint val="94000"/>
              </a:schemeClr>
            </a:gs>
            <a:gs pos="50000">
              <a:schemeClr val="accent1">
                <a:shade val="50000"/>
                <a:hueOff val="402493"/>
                <a:satOff val="-9802"/>
                <a:lumOff val="42896"/>
                <a:alphaOff val="0"/>
                <a:satMod val="110000"/>
                <a:lumMod val="100000"/>
                <a:shade val="100000"/>
              </a:schemeClr>
            </a:gs>
            <a:gs pos="100000">
              <a:schemeClr val="accent1">
                <a:shade val="50000"/>
                <a:hueOff val="402493"/>
                <a:satOff val="-9802"/>
                <a:lumOff val="42896"/>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Enviornment</a:t>
          </a:r>
        </a:p>
      </dsp:txBody>
      <dsp:txXfrm rot="10800000">
        <a:off x="2775204" y="1632204"/>
        <a:ext cx="979889" cy="979889"/>
      </dsp:txXfrm>
    </dsp:sp>
    <dsp:sp modelId="{6FC6B842-B19B-4F4B-AA96-46B67E41A1AF}">
      <dsp:nvSpPr>
        <dsp:cNvPr id="0" name=""/>
        <dsp:cNvSpPr/>
      </dsp:nvSpPr>
      <dsp:spPr>
        <a:xfrm rot="16200000">
          <a:off x="1325422" y="1632204"/>
          <a:ext cx="1385773" cy="1385773"/>
        </a:xfrm>
        <a:prstGeom prst="pieWedge">
          <a:avLst/>
        </a:prstGeom>
        <a:gradFill rotWithShape="0">
          <a:gsLst>
            <a:gs pos="0">
              <a:schemeClr val="accent1">
                <a:shade val="50000"/>
                <a:hueOff val="201247"/>
                <a:satOff val="-4901"/>
                <a:lumOff val="21448"/>
                <a:alphaOff val="0"/>
                <a:satMod val="103000"/>
                <a:lumMod val="102000"/>
                <a:tint val="94000"/>
              </a:schemeClr>
            </a:gs>
            <a:gs pos="50000">
              <a:schemeClr val="accent1">
                <a:shade val="50000"/>
                <a:hueOff val="201247"/>
                <a:satOff val="-4901"/>
                <a:lumOff val="21448"/>
                <a:alphaOff val="0"/>
                <a:satMod val="110000"/>
                <a:lumMod val="100000"/>
                <a:shade val="100000"/>
              </a:schemeClr>
            </a:gs>
            <a:gs pos="100000">
              <a:schemeClr val="accent1">
                <a:shade val="50000"/>
                <a:hueOff val="201247"/>
                <a:satOff val="-4901"/>
                <a:lumOff val="21448"/>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t>Political</a:t>
          </a:r>
        </a:p>
      </dsp:txBody>
      <dsp:txXfrm rot="5400000">
        <a:off x="1731306" y="1632204"/>
        <a:ext cx="979889" cy="979889"/>
      </dsp:txXfrm>
    </dsp:sp>
    <dsp:sp modelId="{B4DC59A9-942E-4928-83F8-4E336532FF83}">
      <dsp:nvSpPr>
        <dsp:cNvPr id="0" name=""/>
        <dsp:cNvSpPr/>
      </dsp:nvSpPr>
      <dsp:spPr>
        <a:xfrm>
          <a:off x="2503970" y="1312164"/>
          <a:ext cx="478459" cy="416052"/>
        </a:xfrm>
        <a:prstGeom prst="circularArrow">
          <a:avLst/>
        </a:prstGeom>
        <a:gradFill rotWithShape="0">
          <a:gsLst>
            <a:gs pos="0">
              <a:schemeClr val="accent1">
                <a:tint val="55000"/>
                <a:hueOff val="0"/>
                <a:satOff val="0"/>
                <a:lumOff val="0"/>
                <a:alphaOff val="0"/>
                <a:satMod val="103000"/>
                <a:lumMod val="102000"/>
                <a:tint val="94000"/>
              </a:schemeClr>
            </a:gs>
            <a:gs pos="50000">
              <a:schemeClr val="accent1">
                <a:tint val="55000"/>
                <a:hueOff val="0"/>
                <a:satOff val="0"/>
                <a:lumOff val="0"/>
                <a:alphaOff val="0"/>
                <a:satMod val="110000"/>
                <a:lumMod val="100000"/>
                <a:shade val="100000"/>
              </a:schemeClr>
            </a:gs>
            <a:gs pos="100000">
              <a:schemeClr val="accent1">
                <a:tint val="55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dsp:style>
    </dsp:sp>
    <dsp:sp modelId="{9B85066C-E51B-49D2-8052-9DAD2D6AB372}">
      <dsp:nvSpPr>
        <dsp:cNvPr id="0" name=""/>
        <dsp:cNvSpPr/>
      </dsp:nvSpPr>
      <dsp:spPr>
        <a:xfrm rot="10800000">
          <a:off x="2503970" y="1472184"/>
          <a:ext cx="478459" cy="416052"/>
        </a:xfrm>
        <a:prstGeom prst="circularArrow">
          <a:avLst/>
        </a:prstGeom>
        <a:gradFill rotWithShape="0">
          <a:gsLst>
            <a:gs pos="0">
              <a:schemeClr val="accent1">
                <a:tint val="55000"/>
                <a:hueOff val="0"/>
                <a:satOff val="0"/>
                <a:lumOff val="0"/>
                <a:alphaOff val="0"/>
                <a:satMod val="103000"/>
                <a:lumMod val="102000"/>
                <a:tint val="94000"/>
              </a:schemeClr>
            </a:gs>
            <a:gs pos="50000">
              <a:schemeClr val="accent1">
                <a:tint val="55000"/>
                <a:hueOff val="0"/>
                <a:satOff val="0"/>
                <a:lumOff val="0"/>
                <a:alphaOff val="0"/>
                <a:satMod val="110000"/>
                <a:lumMod val="100000"/>
                <a:shade val="100000"/>
              </a:schemeClr>
            </a:gs>
            <a:gs pos="100000">
              <a:schemeClr val="accent1">
                <a:tint val="55000"/>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Placeholder2</b:Tag>
    <b:SourceType>JournalArticle</b:SourceType>
    <b:Guid>{E9B73C66-60AF-473A-A24B-C06013E3824F}</b:Guid>
    <b:Title>socail and economic impacts of urbanization in pakistan</b:Title>
    <b:Pages>1-13</b:Pages>
    <b:Author>
      <b:Author>
        <b:NameList>
          <b:Person>
            <b:Last>ahmad</b:Last>
            <b:First>tehseen</b:First>
          </b:Person>
          <b:Person>
            <b:Last>phanwar</b:Last>
            <b:Middle>phanwar</b:Middle>
            <b:First>iqbal</b:First>
          </b:Person>
          <b:Person>
            <b:Last>zarif</b:Last>
            <b:First>tayyib</b:First>
          </b:Person>
        </b:NameList>
      </b:Author>
    </b:Author>
    <b:RefOrder>1</b:RefOrder>
  </b:Source>
  <b:Source>
    <b:Tag>dev14</b:Tag>
    <b:SourceType>Report</b:SourceType>
    <b:Guid>{2C7930B0-5C0F-420D-91B8-AE76DF26692B}</b:Guid>
    <b:Title>developing economic corridor in south asia</b:Title>
    <b:Year>2014</b:Year>
    <b:Publisher>ISBN 978-92-9254-510-9 (Print), 978-92-9254-511-6 (PDF)</b:Publisher>
    <b:City>India</b:City>
    <b:RefOrder>2</b:RefOrder>
  </b:Source>
</b:Sources>
</file>

<file path=customXml/itemProps1.xml><?xml version="1.0" encoding="utf-8"?>
<ds:datastoreItem xmlns:ds="http://schemas.openxmlformats.org/officeDocument/2006/customXml" ds:itemID="{1747F887-9DBD-49A9-8B8F-95936FA994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2546</Words>
  <Characters>14513</Characters>
  <Application>Microsoft Office Word</Application>
  <DocSecurity>0</DocSecurity>
  <Lines>120</Lines>
  <Paragraphs>34</Paragraphs>
  <ScaleCrop>false</ScaleCrop>
  <Company/>
  <LinksUpToDate>false</LinksUpToDate>
  <CharactersWithSpaces>17025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 Rehman</dc:creator>
  <cp:keywords/>
  <dc:description/>
  <cp:lastModifiedBy>Abdu Rehman</cp:lastModifiedBy>
  <cp:revision>2</cp:revision>
  <dcterms:created xsi:type="dcterms:W3CDTF">2017-11-30T15:05:00Z</dcterms:created>
  <dcterms:modified xsi:type="dcterms:W3CDTF">2018-08-04T10:02:00Z</dcterms:modified>
</cp:coreProperties>
</file>