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D87" w:rsidRPr="00A23D87" w:rsidRDefault="00A23D87" w:rsidP="00A23D87">
      <w:pPr>
        <w:rPr>
          <w:b/>
          <w:bCs/>
        </w:rPr>
      </w:pPr>
      <w:r w:rsidRPr="00A23D87">
        <w:rPr>
          <w:b/>
          <w:bCs/>
        </w:rPr>
        <w:t>Urbanization and Slum Formation</w:t>
      </w:r>
    </w:p>
    <w:p w:rsidR="00A23D87" w:rsidRPr="00A23D87" w:rsidRDefault="00A23D87" w:rsidP="00A23D87">
      <w:hyperlink r:id="rId6" w:history="1">
        <w:proofErr w:type="spellStart"/>
        <w:r w:rsidRPr="00A23D87">
          <w:rPr>
            <w:rStyle w:val="Hyperlink"/>
          </w:rPr>
          <w:t>Giok</w:t>
        </w:r>
        <w:proofErr w:type="spellEnd"/>
        <w:r w:rsidRPr="00A23D87">
          <w:rPr>
            <w:rStyle w:val="Hyperlink"/>
          </w:rPr>
          <w:t xml:space="preserve"> Ling </w:t>
        </w:r>
        <w:proofErr w:type="spellStart"/>
        <w:r w:rsidRPr="00A23D87">
          <w:rPr>
            <w:rStyle w:val="Hyperlink"/>
          </w:rPr>
          <w:t>Ooi</w:t>
        </w:r>
        <w:proofErr w:type="spellEnd"/>
      </w:hyperlink>
      <w:r w:rsidRPr="00A23D87">
        <w:rPr>
          <w:vertAlign w:val="superscript"/>
        </w:rPr>
        <w:drawing>
          <wp:inline distT="0" distB="0" distL="0" distR="0">
            <wp:extent cx="66675" cy="85725"/>
            <wp:effectExtent l="0" t="0" r="9525" b="9525"/>
            <wp:docPr id="4" name="Picture 4" descr="corresponding auth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rresponding autho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6675" cy="85725"/>
                    </a:xfrm>
                    <a:prstGeom prst="rect">
                      <a:avLst/>
                    </a:prstGeom>
                    <a:noFill/>
                    <a:ln>
                      <a:noFill/>
                    </a:ln>
                  </pic:spPr>
                </pic:pic>
              </a:graphicData>
            </a:graphic>
          </wp:inline>
        </w:drawing>
      </w:r>
      <w:r w:rsidRPr="00A23D87">
        <w:t xml:space="preserve"> and </w:t>
      </w:r>
      <w:hyperlink r:id="rId8" w:history="1">
        <w:r w:rsidRPr="00A23D87">
          <w:rPr>
            <w:rStyle w:val="Hyperlink"/>
          </w:rPr>
          <w:t xml:space="preserve">Kai Hong </w:t>
        </w:r>
        <w:proofErr w:type="spellStart"/>
        <w:r w:rsidRPr="00A23D87">
          <w:rPr>
            <w:rStyle w:val="Hyperlink"/>
          </w:rPr>
          <w:t>Phua</w:t>
        </w:r>
        <w:proofErr w:type="spellEnd"/>
      </w:hyperlink>
    </w:p>
    <w:p w:rsidR="00A23D87" w:rsidRPr="00A23D87" w:rsidRDefault="00A23D87" w:rsidP="00A23D87">
      <w:hyperlink r:id="rId9" w:history="1">
        <w:r w:rsidRPr="00A23D87">
          <w:rPr>
            <w:rStyle w:val="Hyperlink"/>
          </w:rPr>
          <w:t>Author information</w:t>
        </w:r>
      </w:hyperlink>
      <w:r w:rsidRPr="00A23D87">
        <w:t xml:space="preserve"> </w:t>
      </w:r>
      <w:hyperlink r:id="rId10" w:history="1">
        <w:r w:rsidRPr="00A23D87">
          <w:rPr>
            <w:rStyle w:val="Hyperlink"/>
          </w:rPr>
          <w:t>Copyright and License information</w:t>
        </w:r>
      </w:hyperlink>
      <w:r w:rsidRPr="00A23D87">
        <w:t xml:space="preserve"> </w:t>
      </w:r>
      <w:hyperlink r:id="rId11" w:history="1">
        <w:r w:rsidRPr="00A23D87">
          <w:rPr>
            <w:rStyle w:val="Hyperlink"/>
          </w:rPr>
          <w:t>Disclaimer</w:t>
        </w:r>
      </w:hyperlink>
    </w:p>
    <w:p w:rsidR="00A23D87" w:rsidRPr="00A23D87" w:rsidRDefault="00A23D87" w:rsidP="00A23D87">
      <w:r w:rsidRPr="00A23D87">
        <w:t xml:space="preserve">This article has been </w:t>
      </w:r>
      <w:hyperlink r:id="rId12" w:history="1">
        <w:r w:rsidRPr="00A23D87">
          <w:rPr>
            <w:rStyle w:val="Hyperlink"/>
          </w:rPr>
          <w:t>cited by</w:t>
        </w:r>
      </w:hyperlink>
      <w:r w:rsidRPr="00A23D87">
        <w:t xml:space="preserve"> other articles in PMC.</w:t>
      </w:r>
    </w:p>
    <w:p w:rsidR="00A23D87" w:rsidRPr="00A23D87" w:rsidRDefault="00A23D87" w:rsidP="00A23D87">
      <w:pPr>
        <w:rPr>
          <w:lang w:val="en"/>
        </w:rPr>
      </w:pPr>
      <w:hyperlink r:id="rId13" w:tooltip="Go to other sections in this page" w:history="1">
        <w:r w:rsidRPr="00A23D87">
          <w:rPr>
            <w:rStyle w:val="Hyperlink"/>
            <w:lang w:val="en"/>
          </w:rPr>
          <w:t>Go to:</w:t>
        </w:r>
      </w:hyperlink>
    </w:p>
    <w:p w:rsidR="00A23D87" w:rsidRPr="00A23D87" w:rsidRDefault="00A23D87" w:rsidP="00A23D87">
      <w:pPr>
        <w:rPr>
          <w:b/>
          <w:bCs/>
          <w:lang w:val="en"/>
        </w:rPr>
      </w:pPr>
      <w:r w:rsidRPr="00A23D87">
        <w:rPr>
          <w:b/>
          <w:bCs/>
          <w:lang w:val="en"/>
        </w:rPr>
        <w:t>Abstract</w:t>
      </w:r>
    </w:p>
    <w:p w:rsidR="00A23D87" w:rsidRPr="00A23D87" w:rsidRDefault="00A23D87" w:rsidP="00A23D87">
      <w:pPr>
        <w:rPr>
          <w:lang w:val="en"/>
        </w:rPr>
      </w:pPr>
      <w:r w:rsidRPr="00A23D87">
        <w:rPr>
          <w:lang w:val="en"/>
        </w:rPr>
        <w:t>The formation of slums need not be inevitable with rapid urbanization. Such an argument appears to be contradicted by evidence of large slum populations in a large number of developing countries and particularly in rapidly urbanizing regions like Asia. The evidence discussed suggests that city authorities faced with rapid urban development lack the capacity to cope with the diverse demands for infrastructural provision to meet economic and social needs. Not only are strategic planning and intervention major issues in agenda to manage rapid urbanization, but city governments are not effectively linking the economic development trajectory to implications for urban growth and, hence, housing needs. In the following discussion, a case study is presented in support of the argument that city governments have to first recognize and then act to establish the link that is crucial between economic development, urban growth, and housing. This is the agendum that has been largely neglected by city and national governments that have been narrowly focused on economic growth with the consequent proliferation of slum formation as a housing solution.</w:t>
      </w:r>
    </w:p>
    <w:p w:rsidR="00A23D87" w:rsidRPr="00A23D87" w:rsidRDefault="00A23D87" w:rsidP="00A23D87">
      <w:pPr>
        <w:rPr>
          <w:lang w:val="en"/>
        </w:rPr>
      </w:pPr>
      <w:r w:rsidRPr="00A23D87">
        <w:rPr>
          <w:b/>
          <w:bCs/>
          <w:lang w:val="en"/>
        </w:rPr>
        <w:t xml:space="preserve">Keywords: </w:t>
      </w:r>
      <w:r w:rsidRPr="00A23D87">
        <w:rPr>
          <w:lang w:val="en"/>
        </w:rPr>
        <w:t>Housing needs, Slum formation, Urbanization, Urban growth.</w:t>
      </w:r>
    </w:p>
    <w:p w:rsidR="00A23D87" w:rsidRPr="00A23D87" w:rsidRDefault="00A23D87" w:rsidP="00A23D87">
      <w:hyperlink r:id="rId14" w:tooltip="Go to other sections in this page" w:history="1">
        <w:r w:rsidRPr="00A23D87">
          <w:rPr>
            <w:rStyle w:val="Hyperlink"/>
          </w:rPr>
          <w:t>Go to:</w:t>
        </w:r>
      </w:hyperlink>
    </w:p>
    <w:p w:rsidR="00A23D87" w:rsidRPr="00A23D87" w:rsidRDefault="00A23D87" w:rsidP="00A23D87">
      <w:pPr>
        <w:rPr>
          <w:b/>
          <w:bCs/>
        </w:rPr>
      </w:pPr>
      <w:r w:rsidRPr="00A23D87">
        <w:rPr>
          <w:b/>
          <w:bCs/>
        </w:rPr>
        <w:t>UNDERSTANDING URBANIZATION AND URBAN GROWTH IN THE DEVELOPING WORLD</w:t>
      </w:r>
    </w:p>
    <w:p w:rsidR="00A23D87" w:rsidRPr="00A23D87" w:rsidRDefault="00A23D87" w:rsidP="00A23D87">
      <w:r w:rsidRPr="00A23D87">
        <w:t>The understanding of the level of urbanization or its scale in developing countries is challenged by differences in the definition of “urban” and in turn, the lack of reliable data. Furthermore, the process of urbanization is far from homogenous across regions and swathes of territory that are wholly different in terms of economy and political structures. In many of the poorest countries, there are cities that are really urban or metropolitan regions in terms of population sizes and territorial extent.</w:t>
      </w:r>
    </w:p>
    <w:p w:rsidR="00A23D87" w:rsidRPr="00A23D87" w:rsidRDefault="00A23D87" w:rsidP="00A23D87">
      <w:r w:rsidRPr="00A23D87">
        <w:t>Where local governments are in place, they invariably lack the financial and expert capacity to carry out the work needed to address urban problems. Similar constraints are faced by numerous nongovernment organizations, which work at the local scale among poor neighborhoods in cities. Consequently, there is a problem of representation of the local needs in particularly poor urban neighborhoods and it can be assumed that areas like the squatter and slum settlements often have little or no legal claims on city or national governments.</w:t>
      </w:r>
    </w:p>
    <w:p w:rsidR="00A23D87" w:rsidRPr="00A23D87" w:rsidRDefault="00A23D87" w:rsidP="00A23D87">
      <w:r w:rsidRPr="00A23D87">
        <w:t xml:space="preserve">Cities have become centers where vast numbers of people compete for the most basic elements of life: for a room within reach of employment with an affordable rent, or vacant land on which a shelter can </w:t>
      </w:r>
      <w:r w:rsidRPr="00A23D87">
        <w:lastRenderedPageBreak/>
        <w:t>be erected without fear of eviction; for places in schools; for medical treatment for health problems or injuries, or a bed in a hospital; for access to clean drinking water; for a place on a bus or train; and for a corner on a pavement or square to sell some goods—quite apart from the enormous competition for jobs. In the majority of cases, governments have the power and resources to increase the supply and reduce the cost of many of these.</w:t>
      </w:r>
      <w:hyperlink r:id="rId15" w:anchor="CR1" w:history="1">
        <w:r w:rsidRPr="00A23D87">
          <w:rPr>
            <w:rStyle w:val="Hyperlink"/>
            <w:vertAlign w:val="superscript"/>
          </w:rPr>
          <w:t>1</w:t>
        </w:r>
      </w:hyperlink>
    </w:p>
    <w:p w:rsidR="00A23D87" w:rsidRPr="00A23D87" w:rsidRDefault="00A23D87" w:rsidP="00A23D87">
      <w:r w:rsidRPr="00A23D87">
        <w:t xml:space="preserve">That urban slums and squatter settlements are not inevitable is evident in cities such as Hong Kong and Singapore. The following discussion focuses on the effective link established between planned economic </w:t>
      </w:r>
      <w:proofErr w:type="gramStart"/>
      <w:r w:rsidRPr="00A23D87">
        <w:t>development</w:t>
      </w:r>
      <w:proofErr w:type="gramEnd"/>
      <w:r w:rsidRPr="00A23D87">
        <w:t>, urban growth, and housing, which has addressed slum formation in these cities.</w:t>
      </w:r>
    </w:p>
    <w:p w:rsidR="00A23D87" w:rsidRPr="00A23D87" w:rsidRDefault="00A23D87" w:rsidP="00A23D87">
      <w:hyperlink r:id="rId16" w:tooltip="Go to other sections in this page" w:history="1">
        <w:r w:rsidRPr="00A23D87">
          <w:rPr>
            <w:rStyle w:val="Hyperlink"/>
          </w:rPr>
          <w:t>Go to:</w:t>
        </w:r>
      </w:hyperlink>
    </w:p>
    <w:p w:rsidR="00A23D87" w:rsidRPr="00A23D87" w:rsidRDefault="00A23D87" w:rsidP="00A23D87">
      <w:pPr>
        <w:rPr>
          <w:b/>
          <w:bCs/>
        </w:rPr>
      </w:pPr>
      <w:r w:rsidRPr="00A23D87">
        <w:rPr>
          <w:b/>
          <w:bCs/>
        </w:rPr>
        <w:t>URBANIZATION AND ECONOMIC DEVELOPMENT IN THE DEVELOPING WORLD</w:t>
      </w:r>
    </w:p>
    <w:p w:rsidR="00A23D87" w:rsidRPr="00A23D87" w:rsidRDefault="00A23D87" w:rsidP="00A23D87">
      <w:r w:rsidRPr="00A23D87">
        <w:t>The urban population in the world is rising generally.</w:t>
      </w:r>
      <w:hyperlink r:id="rId17" w:anchor="CR2" w:history="1">
        <w:r w:rsidRPr="00A23D87">
          <w:rPr>
            <w:rStyle w:val="Hyperlink"/>
            <w:vertAlign w:val="superscript"/>
          </w:rPr>
          <w:t>2</w:t>
        </w:r>
      </w:hyperlink>
      <w:r w:rsidRPr="00A23D87">
        <w:t xml:space="preserve"> The estimates are that more than 60% of the increase in the world’s urban population over the next three decades will be in Asia, mostly in China and India, but also in Pakistan, Bangladesh, the Philippines, and Vietnam. Nine out of 23 cities with populations of more than 10 million people are in Asia. Similarly, Asia will have many cities projected to have more than a million people each. In Table </w:t>
      </w:r>
      <w:hyperlink r:id="rId18" w:tgtFrame="table" w:history="1">
        <w:r w:rsidRPr="00A23D87">
          <w:rPr>
            <w:rStyle w:val="Hyperlink"/>
          </w:rPr>
          <w:t>1</w:t>
        </w:r>
      </w:hyperlink>
      <w:r w:rsidRPr="00A23D87">
        <w:t xml:space="preserve">, the urban growth rates in most parts of Asia are more rapid than that of the world. Concomitantly, the rate of decrease in the rural population in Asia as a whole and a number of </w:t>
      </w:r>
      <w:proofErr w:type="spellStart"/>
      <w:r w:rsidRPr="00A23D87">
        <w:t>subregions</w:t>
      </w:r>
      <w:proofErr w:type="spellEnd"/>
      <w:r w:rsidRPr="00A23D87">
        <w:t xml:space="preserve"> is projected to be higher than that of the world. </w:t>
      </w:r>
    </w:p>
    <w:p w:rsidR="00A23D87" w:rsidRPr="00A23D87" w:rsidRDefault="00A23D87" w:rsidP="00A23D87">
      <w:pPr>
        <w:rPr>
          <w:b/>
          <w:bCs/>
        </w:rPr>
      </w:pPr>
      <w:r w:rsidRPr="00A23D87">
        <w:rPr>
          <w:b/>
          <w:bCs/>
        </w:rPr>
        <w:t>TABLE 1</w:t>
      </w:r>
    </w:p>
    <w:p w:rsidR="00A23D87" w:rsidRPr="00A23D87" w:rsidRDefault="00A23D87" w:rsidP="00A23D87">
      <w:r w:rsidRPr="00A23D87">
        <w:t>Urban and rural population growth rates, 1950–2030</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40"/>
        <w:gridCol w:w="507"/>
        <w:gridCol w:w="507"/>
        <w:gridCol w:w="507"/>
        <w:gridCol w:w="507"/>
        <w:gridCol w:w="1062"/>
        <w:gridCol w:w="1062"/>
        <w:gridCol w:w="1062"/>
        <w:gridCol w:w="1077"/>
      </w:tblGrid>
      <w:tr w:rsidR="00A23D87" w:rsidRPr="00A23D87" w:rsidTr="00A23D87">
        <w:trPr>
          <w:tblHeader/>
          <w:tblCellSpacing w:w="15" w:type="dxa"/>
        </w:trPr>
        <w:tc>
          <w:tcPr>
            <w:tcW w:w="0" w:type="auto"/>
            <w:vMerge w:val="restart"/>
            <w:vAlign w:val="center"/>
            <w:hideMark/>
          </w:tcPr>
          <w:p w:rsidR="00A23D87" w:rsidRPr="00A23D87" w:rsidRDefault="00A23D87" w:rsidP="00A23D87">
            <w:pPr>
              <w:rPr>
                <w:b/>
                <w:bCs/>
              </w:rPr>
            </w:pPr>
            <w:r w:rsidRPr="00A23D87">
              <w:rPr>
                <w:b/>
                <w:bCs/>
              </w:rPr>
              <w:t> </w:t>
            </w:r>
          </w:p>
        </w:tc>
        <w:tc>
          <w:tcPr>
            <w:tcW w:w="0" w:type="auto"/>
            <w:gridSpan w:val="4"/>
            <w:vAlign w:val="center"/>
            <w:hideMark/>
          </w:tcPr>
          <w:p w:rsidR="00A23D87" w:rsidRPr="00A23D87" w:rsidRDefault="00A23D87" w:rsidP="00A23D87">
            <w:pPr>
              <w:rPr>
                <w:b/>
                <w:bCs/>
              </w:rPr>
            </w:pPr>
            <w:r w:rsidRPr="00A23D87">
              <w:rPr>
                <w:b/>
                <w:bCs/>
              </w:rPr>
              <w:t>Urban population (%)</w:t>
            </w:r>
          </w:p>
        </w:tc>
        <w:tc>
          <w:tcPr>
            <w:tcW w:w="0" w:type="auto"/>
            <w:gridSpan w:val="4"/>
            <w:vAlign w:val="center"/>
            <w:hideMark/>
          </w:tcPr>
          <w:p w:rsidR="00A23D87" w:rsidRPr="00A23D87" w:rsidRDefault="00A23D87" w:rsidP="00A23D87">
            <w:pPr>
              <w:rPr>
                <w:b/>
                <w:bCs/>
              </w:rPr>
            </w:pPr>
            <w:r w:rsidRPr="00A23D87">
              <w:rPr>
                <w:b/>
                <w:bCs/>
              </w:rPr>
              <w:t>Average annual rate of change (%)</w:t>
            </w:r>
          </w:p>
        </w:tc>
      </w:tr>
      <w:tr w:rsidR="00A23D87" w:rsidRPr="00A23D87" w:rsidTr="00A23D87">
        <w:trPr>
          <w:tblHeader/>
          <w:tblCellSpacing w:w="15" w:type="dxa"/>
        </w:trPr>
        <w:tc>
          <w:tcPr>
            <w:tcW w:w="0" w:type="auto"/>
            <w:vMerge/>
            <w:vAlign w:val="center"/>
            <w:hideMark/>
          </w:tcPr>
          <w:p w:rsidR="00A23D87" w:rsidRPr="00A23D87" w:rsidRDefault="00A23D87" w:rsidP="00A23D87">
            <w:pPr>
              <w:rPr>
                <w:b/>
                <w:bCs/>
              </w:rPr>
            </w:pPr>
          </w:p>
        </w:tc>
        <w:tc>
          <w:tcPr>
            <w:tcW w:w="0" w:type="auto"/>
            <w:vMerge w:val="restart"/>
            <w:vAlign w:val="center"/>
            <w:hideMark/>
          </w:tcPr>
          <w:p w:rsidR="00A23D87" w:rsidRPr="00A23D87" w:rsidRDefault="00A23D87" w:rsidP="00A23D87">
            <w:pPr>
              <w:rPr>
                <w:b/>
                <w:bCs/>
              </w:rPr>
            </w:pPr>
            <w:r w:rsidRPr="00A23D87">
              <w:rPr>
                <w:b/>
                <w:bCs/>
              </w:rPr>
              <w:t>1950</w:t>
            </w:r>
          </w:p>
        </w:tc>
        <w:tc>
          <w:tcPr>
            <w:tcW w:w="0" w:type="auto"/>
            <w:vMerge w:val="restart"/>
            <w:vAlign w:val="center"/>
            <w:hideMark/>
          </w:tcPr>
          <w:p w:rsidR="00A23D87" w:rsidRPr="00A23D87" w:rsidRDefault="00A23D87" w:rsidP="00A23D87">
            <w:pPr>
              <w:rPr>
                <w:b/>
                <w:bCs/>
              </w:rPr>
            </w:pPr>
            <w:r w:rsidRPr="00A23D87">
              <w:rPr>
                <w:b/>
                <w:bCs/>
              </w:rPr>
              <w:t>1975</w:t>
            </w:r>
          </w:p>
        </w:tc>
        <w:tc>
          <w:tcPr>
            <w:tcW w:w="0" w:type="auto"/>
            <w:vMerge w:val="restart"/>
            <w:vAlign w:val="center"/>
            <w:hideMark/>
          </w:tcPr>
          <w:p w:rsidR="00A23D87" w:rsidRPr="00A23D87" w:rsidRDefault="00A23D87" w:rsidP="00A23D87">
            <w:pPr>
              <w:rPr>
                <w:b/>
                <w:bCs/>
              </w:rPr>
            </w:pPr>
            <w:r w:rsidRPr="00A23D87">
              <w:rPr>
                <w:b/>
                <w:bCs/>
              </w:rPr>
              <w:t>2000</w:t>
            </w:r>
          </w:p>
        </w:tc>
        <w:tc>
          <w:tcPr>
            <w:tcW w:w="0" w:type="auto"/>
            <w:vMerge w:val="restart"/>
            <w:vAlign w:val="center"/>
            <w:hideMark/>
          </w:tcPr>
          <w:p w:rsidR="00A23D87" w:rsidRPr="00A23D87" w:rsidRDefault="00A23D87" w:rsidP="00A23D87">
            <w:pPr>
              <w:rPr>
                <w:b/>
                <w:bCs/>
              </w:rPr>
            </w:pPr>
            <w:r w:rsidRPr="00A23D87">
              <w:rPr>
                <w:b/>
                <w:bCs/>
              </w:rPr>
              <w:t>2025</w:t>
            </w:r>
          </w:p>
        </w:tc>
        <w:tc>
          <w:tcPr>
            <w:tcW w:w="0" w:type="auto"/>
            <w:gridSpan w:val="2"/>
            <w:vAlign w:val="center"/>
            <w:hideMark/>
          </w:tcPr>
          <w:p w:rsidR="00A23D87" w:rsidRPr="00A23D87" w:rsidRDefault="00A23D87" w:rsidP="00A23D87">
            <w:pPr>
              <w:rPr>
                <w:b/>
                <w:bCs/>
              </w:rPr>
            </w:pPr>
            <w:r w:rsidRPr="00A23D87">
              <w:rPr>
                <w:b/>
                <w:bCs/>
              </w:rPr>
              <w:t>Urban</w:t>
            </w:r>
          </w:p>
        </w:tc>
        <w:tc>
          <w:tcPr>
            <w:tcW w:w="0" w:type="auto"/>
            <w:gridSpan w:val="2"/>
            <w:vAlign w:val="center"/>
            <w:hideMark/>
          </w:tcPr>
          <w:p w:rsidR="00A23D87" w:rsidRPr="00A23D87" w:rsidRDefault="00A23D87" w:rsidP="00A23D87">
            <w:pPr>
              <w:rPr>
                <w:b/>
                <w:bCs/>
              </w:rPr>
            </w:pPr>
            <w:r w:rsidRPr="00A23D87">
              <w:rPr>
                <w:b/>
                <w:bCs/>
              </w:rPr>
              <w:t>Rural</w:t>
            </w:r>
          </w:p>
        </w:tc>
      </w:tr>
      <w:tr w:rsidR="00A23D87" w:rsidRPr="00A23D87" w:rsidTr="00A23D87">
        <w:trPr>
          <w:tblHeader/>
          <w:tblCellSpacing w:w="15" w:type="dxa"/>
        </w:trPr>
        <w:tc>
          <w:tcPr>
            <w:tcW w:w="0" w:type="auto"/>
            <w:vMerge/>
            <w:vAlign w:val="center"/>
            <w:hideMark/>
          </w:tcPr>
          <w:p w:rsidR="00A23D87" w:rsidRPr="00A23D87" w:rsidRDefault="00A23D87" w:rsidP="00A23D87">
            <w:pPr>
              <w:rPr>
                <w:b/>
                <w:bCs/>
              </w:rPr>
            </w:pPr>
          </w:p>
        </w:tc>
        <w:tc>
          <w:tcPr>
            <w:tcW w:w="0" w:type="auto"/>
            <w:vMerge/>
            <w:vAlign w:val="center"/>
            <w:hideMark/>
          </w:tcPr>
          <w:p w:rsidR="00A23D87" w:rsidRPr="00A23D87" w:rsidRDefault="00A23D87" w:rsidP="00A23D87">
            <w:pPr>
              <w:rPr>
                <w:b/>
                <w:bCs/>
              </w:rPr>
            </w:pPr>
          </w:p>
        </w:tc>
        <w:tc>
          <w:tcPr>
            <w:tcW w:w="0" w:type="auto"/>
            <w:vMerge/>
            <w:vAlign w:val="center"/>
            <w:hideMark/>
          </w:tcPr>
          <w:p w:rsidR="00A23D87" w:rsidRPr="00A23D87" w:rsidRDefault="00A23D87" w:rsidP="00A23D87">
            <w:pPr>
              <w:rPr>
                <w:b/>
                <w:bCs/>
              </w:rPr>
            </w:pPr>
          </w:p>
        </w:tc>
        <w:tc>
          <w:tcPr>
            <w:tcW w:w="0" w:type="auto"/>
            <w:vMerge/>
            <w:vAlign w:val="center"/>
            <w:hideMark/>
          </w:tcPr>
          <w:p w:rsidR="00A23D87" w:rsidRPr="00A23D87" w:rsidRDefault="00A23D87" w:rsidP="00A23D87">
            <w:pPr>
              <w:rPr>
                <w:b/>
                <w:bCs/>
              </w:rPr>
            </w:pPr>
          </w:p>
        </w:tc>
        <w:tc>
          <w:tcPr>
            <w:tcW w:w="0" w:type="auto"/>
            <w:vMerge/>
            <w:vAlign w:val="center"/>
            <w:hideMark/>
          </w:tcPr>
          <w:p w:rsidR="00A23D87" w:rsidRPr="00A23D87" w:rsidRDefault="00A23D87" w:rsidP="00A23D87">
            <w:pPr>
              <w:rPr>
                <w:b/>
                <w:bCs/>
              </w:rPr>
            </w:pPr>
          </w:p>
        </w:tc>
        <w:tc>
          <w:tcPr>
            <w:tcW w:w="0" w:type="auto"/>
            <w:vAlign w:val="center"/>
            <w:hideMark/>
          </w:tcPr>
          <w:p w:rsidR="00A23D87" w:rsidRPr="00A23D87" w:rsidRDefault="00A23D87" w:rsidP="00A23D87">
            <w:pPr>
              <w:rPr>
                <w:b/>
                <w:bCs/>
              </w:rPr>
            </w:pPr>
            <w:r w:rsidRPr="00A23D87">
              <w:rPr>
                <w:b/>
                <w:bCs/>
              </w:rPr>
              <w:t>2000–2005</w:t>
            </w:r>
          </w:p>
        </w:tc>
        <w:tc>
          <w:tcPr>
            <w:tcW w:w="0" w:type="auto"/>
            <w:vAlign w:val="center"/>
            <w:hideMark/>
          </w:tcPr>
          <w:p w:rsidR="00A23D87" w:rsidRPr="00A23D87" w:rsidRDefault="00A23D87" w:rsidP="00A23D87">
            <w:pPr>
              <w:rPr>
                <w:b/>
                <w:bCs/>
              </w:rPr>
            </w:pPr>
            <w:r w:rsidRPr="00A23D87">
              <w:rPr>
                <w:b/>
                <w:bCs/>
              </w:rPr>
              <w:t>2025–2030</w:t>
            </w:r>
          </w:p>
        </w:tc>
        <w:tc>
          <w:tcPr>
            <w:tcW w:w="0" w:type="auto"/>
            <w:vAlign w:val="center"/>
            <w:hideMark/>
          </w:tcPr>
          <w:p w:rsidR="00A23D87" w:rsidRPr="00A23D87" w:rsidRDefault="00A23D87" w:rsidP="00A23D87">
            <w:pPr>
              <w:rPr>
                <w:b/>
                <w:bCs/>
              </w:rPr>
            </w:pPr>
            <w:r w:rsidRPr="00A23D87">
              <w:rPr>
                <w:b/>
                <w:bCs/>
              </w:rPr>
              <w:t>2000–2005</w:t>
            </w:r>
          </w:p>
        </w:tc>
        <w:tc>
          <w:tcPr>
            <w:tcW w:w="0" w:type="auto"/>
            <w:vAlign w:val="center"/>
            <w:hideMark/>
          </w:tcPr>
          <w:p w:rsidR="00A23D87" w:rsidRPr="00A23D87" w:rsidRDefault="00A23D87" w:rsidP="00A23D87">
            <w:pPr>
              <w:rPr>
                <w:b/>
                <w:bCs/>
              </w:rPr>
            </w:pPr>
            <w:r w:rsidRPr="00A23D87">
              <w:rPr>
                <w:b/>
                <w:bCs/>
              </w:rPr>
              <w:t>2025–2030</w:t>
            </w:r>
          </w:p>
        </w:tc>
      </w:tr>
      <w:tr w:rsidR="00A23D87" w:rsidRPr="00A23D87" w:rsidTr="00A23D87">
        <w:trPr>
          <w:tblCellSpacing w:w="15" w:type="dxa"/>
        </w:trPr>
        <w:tc>
          <w:tcPr>
            <w:tcW w:w="0" w:type="auto"/>
            <w:vAlign w:val="center"/>
            <w:hideMark/>
          </w:tcPr>
          <w:p w:rsidR="00A23D87" w:rsidRPr="00A23D87" w:rsidRDefault="00A23D87" w:rsidP="00A23D87">
            <w:r w:rsidRPr="00A23D87">
              <w:t>Asia</w:t>
            </w:r>
          </w:p>
        </w:tc>
        <w:tc>
          <w:tcPr>
            <w:tcW w:w="0" w:type="auto"/>
            <w:vAlign w:val="center"/>
            <w:hideMark/>
          </w:tcPr>
          <w:p w:rsidR="00A23D87" w:rsidRPr="00A23D87" w:rsidRDefault="00A23D87" w:rsidP="00A23D87">
            <w:r w:rsidRPr="00A23D87">
              <w:t>17.4</w:t>
            </w:r>
          </w:p>
        </w:tc>
        <w:tc>
          <w:tcPr>
            <w:tcW w:w="0" w:type="auto"/>
            <w:vAlign w:val="center"/>
            <w:hideMark/>
          </w:tcPr>
          <w:p w:rsidR="00A23D87" w:rsidRPr="00A23D87" w:rsidRDefault="00A23D87" w:rsidP="00A23D87">
            <w:r w:rsidRPr="00A23D87">
              <w:t>24.7</w:t>
            </w:r>
          </w:p>
        </w:tc>
        <w:tc>
          <w:tcPr>
            <w:tcW w:w="0" w:type="auto"/>
            <w:vAlign w:val="center"/>
            <w:hideMark/>
          </w:tcPr>
          <w:p w:rsidR="00A23D87" w:rsidRPr="00A23D87" w:rsidRDefault="00A23D87" w:rsidP="00A23D87">
            <w:r w:rsidRPr="00A23D87">
              <w:t>36.7</w:t>
            </w:r>
          </w:p>
        </w:tc>
        <w:tc>
          <w:tcPr>
            <w:tcW w:w="0" w:type="auto"/>
            <w:vAlign w:val="center"/>
            <w:hideMark/>
          </w:tcPr>
          <w:p w:rsidR="00A23D87" w:rsidRPr="00A23D87" w:rsidRDefault="00A23D87" w:rsidP="00A23D87">
            <w:r w:rsidRPr="00A23D87">
              <w:t>50.6</w:t>
            </w:r>
          </w:p>
        </w:tc>
        <w:tc>
          <w:tcPr>
            <w:tcW w:w="0" w:type="auto"/>
            <w:vAlign w:val="center"/>
            <w:hideMark/>
          </w:tcPr>
          <w:p w:rsidR="00A23D87" w:rsidRPr="00A23D87" w:rsidRDefault="00A23D87" w:rsidP="00A23D87">
            <w:r w:rsidRPr="00A23D87">
              <w:t>1.31</w:t>
            </w:r>
          </w:p>
        </w:tc>
        <w:tc>
          <w:tcPr>
            <w:tcW w:w="0" w:type="auto"/>
            <w:vAlign w:val="center"/>
            <w:hideMark/>
          </w:tcPr>
          <w:p w:rsidR="00A23D87" w:rsidRPr="00A23D87" w:rsidRDefault="00A23D87" w:rsidP="00A23D87">
            <w:r w:rsidRPr="00A23D87">
              <w:t>1.10</w:t>
            </w:r>
          </w:p>
        </w:tc>
        <w:tc>
          <w:tcPr>
            <w:tcW w:w="0" w:type="auto"/>
            <w:vAlign w:val="center"/>
            <w:hideMark/>
          </w:tcPr>
          <w:p w:rsidR="00A23D87" w:rsidRPr="00A23D87" w:rsidRDefault="00A23D87" w:rsidP="00A23D87">
            <w:r w:rsidRPr="00A23D87">
              <w:t>−0.80</w:t>
            </w:r>
          </w:p>
        </w:tc>
        <w:tc>
          <w:tcPr>
            <w:tcW w:w="0" w:type="auto"/>
            <w:vAlign w:val="center"/>
            <w:hideMark/>
          </w:tcPr>
          <w:p w:rsidR="00A23D87" w:rsidRPr="00A23D87" w:rsidRDefault="00A23D87" w:rsidP="00A23D87">
            <w:r w:rsidRPr="00A23D87">
              <w:t>−1.19</w:t>
            </w:r>
          </w:p>
        </w:tc>
      </w:tr>
      <w:tr w:rsidR="00A23D87" w:rsidRPr="00A23D87" w:rsidTr="00A23D87">
        <w:trPr>
          <w:tblCellSpacing w:w="15" w:type="dxa"/>
        </w:trPr>
        <w:tc>
          <w:tcPr>
            <w:tcW w:w="0" w:type="auto"/>
            <w:vAlign w:val="center"/>
            <w:hideMark/>
          </w:tcPr>
          <w:p w:rsidR="00A23D87" w:rsidRPr="00A23D87" w:rsidRDefault="00A23D87" w:rsidP="00A23D87">
            <w:r w:rsidRPr="00A23D87">
              <w:t>Eastern Asia</w:t>
            </w:r>
          </w:p>
        </w:tc>
        <w:tc>
          <w:tcPr>
            <w:tcW w:w="0" w:type="auto"/>
            <w:vAlign w:val="center"/>
            <w:hideMark/>
          </w:tcPr>
          <w:p w:rsidR="00A23D87" w:rsidRPr="00A23D87" w:rsidRDefault="00A23D87" w:rsidP="00A23D87">
            <w:r w:rsidRPr="00A23D87">
              <w:t>18.0</w:t>
            </w:r>
          </w:p>
        </w:tc>
        <w:tc>
          <w:tcPr>
            <w:tcW w:w="0" w:type="auto"/>
            <w:vAlign w:val="center"/>
            <w:hideMark/>
          </w:tcPr>
          <w:p w:rsidR="00A23D87" w:rsidRPr="00A23D87" w:rsidRDefault="00A23D87" w:rsidP="00A23D87">
            <w:r w:rsidRPr="00A23D87">
              <w:t>25.2</w:t>
            </w:r>
          </w:p>
        </w:tc>
        <w:tc>
          <w:tcPr>
            <w:tcW w:w="0" w:type="auto"/>
            <w:vAlign w:val="center"/>
            <w:hideMark/>
          </w:tcPr>
          <w:p w:rsidR="00A23D87" w:rsidRPr="00A23D87" w:rsidRDefault="00A23D87" w:rsidP="00A23D87">
            <w:r w:rsidRPr="00A23D87">
              <w:t>38.5</w:t>
            </w:r>
          </w:p>
        </w:tc>
        <w:tc>
          <w:tcPr>
            <w:tcW w:w="0" w:type="auto"/>
            <w:vAlign w:val="center"/>
            <w:hideMark/>
          </w:tcPr>
          <w:p w:rsidR="00A23D87" w:rsidRPr="00A23D87" w:rsidRDefault="00A23D87" w:rsidP="00A23D87">
            <w:r w:rsidRPr="00A23D87">
              <w:t>51.8</w:t>
            </w:r>
          </w:p>
        </w:tc>
        <w:tc>
          <w:tcPr>
            <w:tcW w:w="0" w:type="auto"/>
            <w:vAlign w:val="center"/>
            <w:hideMark/>
          </w:tcPr>
          <w:p w:rsidR="00A23D87" w:rsidRPr="00A23D87" w:rsidRDefault="00A23D87" w:rsidP="00A23D87">
            <w:r w:rsidRPr="00A23D87">
              <w:t>1.20</w:t>
            </w:r>
          </w:p>
        </w:tc>
        <w:tc>
          <w:tcPr>
            <w:tcW w:w="0" w:type="auto"/>
            <w:vAlign w:val="center"/>
            <w:hideMark/>
          </w:tcPr>
          <w:p w:rsidR="00A23D87" w:rsidRPr="00A23D87" w:rsidRDefault="00A23D87" w:rsidP="00A23D87">
            <w:r w:rsidRPr="00A23D87">
              <w:t>1.06</w:t>
            </w:r>
          </w:p>
        </w:tc>
        <w:tc>
          <w:tcPr>
            <w:tcW w:w="0" w:type="auto"/>
            <w:vAlign w:val="center"/>
            <w:hideMark/>
          </w:tcPr>
          <w:p w:rsidR="00A23D87" w:rsidRPr="00A23D87" w:rsidRDefault="00A23D87" w:rsidP="00A23D87">
            <w:r w:rsidRPr="00A23D87">
              <w:t>−0.79</w:t>
            </w:r>
          </w:p>
        </w:tc>
        <w:tc>
          <w:tcPr>
            <w:tcW w:w="0" w:type="auto"/>
            <w:vAlign w:val="center"/>
            <w:hideMark/>
          </w:tcPr>
          <w:p w:rsidR="00A23D87" w:rsidRPr="00A23D87" w:rsidRDefault="00A23D87" w:rsidP="00A23D87">
            <w:r w:rsidRPr="00A23D87">
              <w:t>−1.20</w:t>
            </w:r>
          </w:p>
        </w:tc>
      </w:tr>
      <w:tr w:rsidR="00A23D87" w:rsidRPr="00A23D87" w:rsidTr="00A23D87">
        <w:trPr>
          <w:tblCellSpacing w:w="15" w:type="dxa"/>
        </w:trPr>
        <w:tc>
          <w:tcPr>
            <w:tcW w:w="0" w:type="auto"/>
            <w:vAlign w:val="center"/>
            <w:hideMark/>
          </w:tcPr>
          <w:p w:rsidR="00A23D87" w:rsidRPr="00A23D87" w:rsidRDefault="00A23D87" w:rsidP="00A23D87">
            <w:r w:rsidRPr="00A23D87">
              <w:t>South Central Asia</w:t>
            </w:r>
          </w:p>
        </w:tc>
        <w:tc>
          <w:tcPr>
            <w:tcW w:w="0" w:type="auto"/>
            <w:vAlign w:val="center"/>
            <w:hideMark/>
          </w:tcPr>
          <w:p w:rsidR="00A23D87" w:rsidRPr="00A23D87" w:rsidRDefault="00A23D87" w:rsidP="00A23D87">
            <w:r w:rsidRPr="00A23D87">
              <w:t>16.6</w:t>
            </w:r>
          </w:p>
        </w:tc>
        <w:tc>
          <w:tcPr>
            <w:tcW w:w="0" w:type="auto"/>
            <w:vAlign w:val="center"/>
            <w:hideMark/>
          </w:tcPr>
          <w:p w:rsidR="00A23D87" w:rsidRPr="00A23D87" w:rsidRDefault="00A23D87" w:rsidP="00A23D87">
            <w:r w:rsidRPr="00A23D87">
              <w:t>22.2</w:t>
            </w:r>
          </w:p>
        </w:tc>
        <w:tc>
          <w:tcPr>
            <w:tcW w:w="0" w:type="auto"/>
            <w:vAlign w:val="center"/>
            <w:hideMark/>
          </w:tcPr>
          <w:p w:rsidR="00A23D87" w:rsidRPr="00A23D87" w:rsidRDefault="00A23D87" w:rsidP="00A23D87">
            <w:r w:rsidRPr="00A23D87">
              <w:t>30.6</w:t>
            </w:r>
          </w:p>
        </w:tc>
        <w:tc>
          <w:tcPr>
            <w:tcW w:w="0" w:type="auto"/>
            <w:vAlign w:val="center"/>
            <w:hideMark/>
          </w:tcPr>
          <w:p w:rsidR="00A23D87" w:rsidRPr="00A23D87" w:rsidRDefault="00A23D87" w:rsidP="00A23D87">
            <w:r w:rsidRPr="00A23D87">
              <w:t>44.7</w:t>
            </w:r>
          </w:p>
        </w:tc>
        <w:tc>
          <w:tcPr>
            <w:tcW w:w="0" w:type="auto"/>
            <w:vAlign w:val="center"/>
            <w:hideMark/>
          </w:tcPr>
          <w:p w:rsidR="00A23D87" w:rsidRPr="00A23D87" w:rsidRDefault="00A23D87" w:rsidP="00A23D87">
            <w:r w:rsidRPr="00A23D87">
              <w:t>1.36</w:t>
            </w:r>
          </w:p>
        </w:tc>
        <w:tc>
          <w:tcPr>
            <w:tcW w:w="0" w:type="auto"/>
            <w:vAlign w:val="center"/>
            <w:hideMark/>
          </w:tcPr>
          <w:p w:rsidR="00A23D87" w:rsidRPr="00A23D87" w:rsidRDefault="00A23D87" w:rsidP="00A23D87">
            <w:r w:rsidRPr="00A23D87">
              <w:t>1.37</w:t>
            </w:r>
          </w:p>
        </w:tc>
        <w:tc>
          <w:tcPr>
            <w:tcW w:w="0" w:type="auto"/>
            <w:vAlign w:val="center"/>
            <w:hideMark/>
          </w:tcPr>
          <w:p w:rsidR="00A23D87" w:rsidRPr="00A23D87" w:rsidRDefault="00A23D87" w:rsidP="00A23D87">
            <w:r w:rsidRPr="00A23D87">
              <w:t>−0.63</w:t>
            </w:r>
          </w:p>
        </w:tc>
        <w:tc>
          <w:tcPr>
            <w:tcW w:w="0" w:type="auto"/>
            <w:vAlign w:val="center"/>
            <w:hideMark/>
          </w:tcPr>
          <w:p w:rsidR="00A23D87" w:rsidRPr="00A23D87" w:rsidRDefault="00A23D87" w:rsidP="00A23D87">
            <w:r w:rsidRPr="00A23D87">
              <w:t>−1.18</w:t>
            </w:r>
          </w:p>
        </w:tc>
      </w:tr>
      <w:tr w:rsidR="00A23D87" w:rsidRPr="00A23D87" w:rsidTr="00A23D87">
        <w:trPr>
          <w:tblCellSpacing w:w="15" w:type="dxa"/>
        </w:trPr>
        <w:tc>
          <w:tcPr>
            <w:tcW w:w="0" w:type="auto"/>
            <w:vAlign w:val="center"/>
            <w:hideMark/>
          </w:tcPr>
          <w:p w:rsidR="00A23D87" w:rsidRPr="00A23D87" w:rsidRDefault="00A23D87" w:rsidP="00A23D87">
            <w:r w:rsidRPr="00A23D87">
              <w:t>South Eastern Asia</w:t>
            </w:r>
          </w:p>
        </w:tc>
        <w:tc>
          <w:tcPr>
            <w:tcW w:w="0" w:type="auto"/>
            <w:vAlign w:val="center"/>
            <w:hideMark/>
          </w:tcPr>
          <w:p w:rsidR="00A23D87" w:rsidRPr="00A23D87" w:rsidRDefault="00A23D87" w:rsidP="00A23D87">
            <w:r w:rsidRPr="00A23D87">
              <w:t>14.8</w:t>
            </w:r>
          </w:p>
        </w:tc>
        <w:tc>
          <w:tcPr>
            <w:tcW w:w="0" w:type="auto"/>
            <w:vAlign w:val="center"/>
            <w:hideMark/>
          </w:tcPr>
          <w:p w:rsidR="00A23D87" w:rsidRPr="00A23D87" w:rsidRDefault="00A23D87" w:rsidP="00A23D87">
            <w:r w:rsidRPr="00A23D87">
              <w:t>22.3</w:t>
            </w:r>
          </w:p>
        </w:tc>
        <w:tc>
          <w:tcPr>
            <w:tcW w:w="0" w:type="auto"/>
            <w:vAlign w:val="center"/>
            <w:hideMark/>
          </w:tcPr>
          <w:p w:rsidR="00A23D87" w:rsidRPr="00A23D87" w:rsidRDefault="00A23D87" w:rsidP="00A23D87">
            <w:r w:rsidRPr="00A23D87">
              <w:t>37.2</w:t>
            </w:r>
          </w:p>
        </w:tc>
        <w:tc>
          <w:tcPr>
            <w:tcW w:w="0" w:type="auto"/>
            <w:vAlign w:val="center"/>
            <w:hideMark/>
          </w:tcPr>
          <w:p w:rsidR="00A23D87" w:rsidRPr="00A23D87" w:rsidRDefault="00A23D87" w:rsidP="00A23D87">
            <w:r w:rsidRPr="00A23D87">
              <w:t>53.2</w:t>
            </w:r>
          </w:p>
        </w:tc>
        <w:tc>
          <w:tcPr>
            <w:tcW w:w="0" w:type="auto"/>
            <w:vAlign w:val="center"/>
            <w:hideMark/>
          </w:tcPr>
          <w:p w:rsidR="00A23D87" w:rsidRPr="00A23D87" w:rsidRDefault="00A23D87" w:rsidP="00A23D87">
            <w:r w:rsidRPr="00A23D87">
              <w:t>1.85</w:t>
            </w:r>
          </w:p>
        </w:tc>
        <w:tc>
          <w:tcPr>
            <w:tcW w:w="0" w:type="auto"/>
            <w:vAlign w:val="center"/>
            <w:hideMark/>
          </w:tcPr>
          <w:p w:rsidR="00A23D87" w:rsidRPr="00A23D87" w:rsidRDefault="00A23D87" w:rsidP="00A23D87">
            <w:r w:rsidRPr="00A23D87">
              <w:t>1.00</w:t>
            </w:r>
          </w:p>
        </w:tc>
        <w:tc>
          <w:tcPr>
            <w:tcW w:w="0" w:type="auto"/>
            <w:vAlign w:val="center"/>
            <w:hideMark/>
          </w:tcPr>
          <w:p w:rsidR="00A23D87" w:rsidRPr="00A23D87" w:rsidRDefault="00A23D87" w:rsidP="00A23D87">
            <w:r w:rsidRPr="00A23D87">
              <w:t>−1.18</w:t>
            </w:r>
          </w:p>
        </w:tc>
        <w:tc>
          <w:tcPr>
            <w:tcW w:w="0" w:type="auto"/>
            <w:vAlign w:val="center"/>
            <w:hideMark/>
          </w:tcPr>
          <w:p w:rsidR="00A23D87" w:rsidRPr="00A23D87" w:rsidRDefault="00A23D87" w:rsidP="00A23D87">
            <w:r w:rsidRPr="00A23D87">
              <w:t>−1.20</w:t>
            </w:r>
          </w:p>
        </w:tc>
      </w:tr>
      <w:tr w:rsidR="00A23D87" w:rsidRPr="00A23D87" w:rsidTr="00A23D87">
        <w:trPr>
          <w:tblCellSpacing w:w="15" w:type="dxa"/>
        </w:trPr>
        <w:tc>
          <w:tcPr>
            <w:tcW w:w="0" w:type="auto"/>
            <w:vAlign w:val="center"/>
            <w:hideMark/>
          </w:tcPr>
          <w:p w:rsidR="00A23D87" w:rsidRPr="00A23D87" w:rsidRDefault="00A23D87" w:rsidP="00A23D87">
            <w:r w:rsidRPr="00A23D87">
              <w:t>Western Asia</w:t>
            </w:r>
          </w:p>
        </w:tc>
        <w:tc>
          <w:tcPr>
            <w:tcW w:w="0" w:type="auto"/>
            <w:vAlign w:val="center"/>
            <w:hideMark/>
          </w:tcPr>
          <w:p w:rsidR="00A23D87" w:rsidRPr="00A23D87" w:rsidRDefault="00A23D87" w:rsidP="00A23D87">
            <w:r w:rsidRPr="00A23D87">
              <w:t>26.7</w:t>
            </w:r>
          </w:p>
        </w:tc>
        <w:tc>
          <w:tcPr>
            <w:tcW w:w="0" w:type="auto"/>
            <w:vAlign w:val="center"/>
            <w:hideMark/>
          </w:tcPr>
          <w:p w:rsidR="00A23D87" w:rsidRPr="00A23D87" w:rsidRDefault="00A23D87" w:rsidP="00A23D87">
            <w:r w:rsidRPr="00A23D87">
              <w:t>48.5</w:t>
            </w:r>
          </w:p>
        </w:tc>
        <w:tc>
          <w:tcPr>
            <w:tcW w:w="0" w:type="auto"/>
            <w:vAlign w:val="center"/>
            <w:hideMark/>
          </w:tcPr>
          <w:p w:rsidR="00A23D87" w:rsidRPr="00A23D87" w:rsidRDefault="00A23D87" w:rsidP="00A23D87">
            <w:r w:rsidRPr="00A23D87">
              <w:t>70.2</w:t>
            </w:r>
          </w:p>
        </w:tc>
        <w:tc>
          <w:tcPr>
            <w:tcW w:w="0" w:type="auto"/>
            <w:vAlign w:val="center"/>
            <w:hideMark/>
          </w:tcPr>
          <w:p w:rsidR="00A23D87" w:rsidRPr="00A23D87" w:rsidRDefault="00A23D87" w:rsidP="00A23D87">
            <w:r w:rsidRPr="00A23D87">
              <w:t>77.0</w:t>
            </w:r>
          </w:p>
        </w:tc>
        <w:tc>
          <w:tcPr>
            <w:tcW w:w="0" w:type="auto"/>
            <w:vAlign w:val="center"/>
            <w:hideMark/>
          </w:tcPr>
          <w:p w:rsidR="00A23D87" w:rsidRPr="00A23D87" w:rsidRDefault="00A23D87" w:rsidP="00A23D87">
            <w:r w:rsidRPr="00A23D87">
              <w:t>0.71</w:t>
            </w:r>
          </w:p>
        </w:tc>
        <w:tc>
          <w:tcPr>
            <w:tcW w:w="0" w:type="auto"/>
            <w:vAlign w:val="center"/>
            <w:hideMark/>
          </w:tcPr>
          <w:p w:rsidR="00A23D87" w:rsidRPr="00A23D87" w:rsidRDefault="00A23D87" w:rsidP="00A23D87">
            <w:r w:rsidRPr="00A23D87">
              <w:t>0.26</w:t>
            </w:r>
          </w:p>
        </w:tc>
        <w:tc>
          <w:tcPr>
            <w:tcW w:w="0" w:type="auto"/>
            <w:vAlign w:val="center"/>
            <w:hideMark/>
          </w:tcPr>
          <w:p w:rsidR="00A23D87" w:rsidRPr="00A23D87" w:rsidRDefault="00A23D87" w:rsidP="00A23D87">
            <w:r w:rsidRPr="00A23D87">
              <w:t>−1.77</w:t>
            </w:r>
          </w:p>
        </w:tc>
        <w:tc>
          <w:tcPr>
            <w:tcW w:w="0" w:type="auto"/>
            <w:vAlign w:val="center"/>
            <w:hideMark/>
          </w:tcPr>
          <w:p w:rsidR="00A23D87" w:rsidRPr="00A23D87" w:rsidRDefault="00A23D87" w:rsidP="00A23D87">
            <w:r w:rsidRPr="00A23D87">
              <w:t>−0.97</w:t>
            </w:r>
          </w:p>
        </w:tc>
      </w:tr>
      <w:tr w:rsidR="00A23D87" w:rsidRPr="00A23D87" w:rsidTr="00A23D87">
        <w:trPr>
          <w:tblCellSpacing w:w="15" w:type="dxa"/>
        </w:trPr>
        <w:tc>
          <w:tcPr>
            <w:tcW w:w="0" w:type="auto"/>
            <w:vAlign w:val="center"/>
            <w:hideMark/>
          </w:tcPr>
          <w:p w:rsidR="00A23D87" w:rsidRPr="00A23D87" w:rsidRDefault="00A23D87" w:rsidP="00A23D87">
            <w:r w:rsidRPr="00A23D87">
              <w:t>World total</w:t>
            </w:r>
          </w:p>
        </w:tc>
        <w:tc>
          <w:tcPr>
            <w:tcW w:w="0" w:type="auto"/>
            <w:vAlign w:val="center"/>
            <w:hideMark/>
          </w:tcPr>
          <w:p w:rsidR="00A23D87" w:rsidRPr="00A23D87" w:rsidRDefault="00A23D87" w:rsidP="00A23D87">
            <w:r w:rsidRPr="00A23D87">
              <w:t>29.7</w:t>
            </w:r>
          </w:p>
        </w:tc>
        <w:tc>
          <w:tcPr>
            <w:tcW w:w="0" w:type="auto"/>
            <w:vAlign w:val="center"/>
            <w:hideMark/>
          </w:tcPr>
          <w:p w:rsidR="00A23D87" w:rsidRPr="00A23D87" w:rsidRDefault="00A23D87" w:rsidP="00A23D87">
            <w:r w:rsidRPr="00A23D87">
              <w:t>37.9</w:t>
            </w:r>
          </w:p>
        </w:tc>
        <w:tc>
          <w:tcPr>
            <w:tcW w:w="0" w:type="auto"/>
            <w:vAlign w:val="center"/>
            <w:hideMark/>
          </w:tcPr>
          <w:p w:rsidR="00A23D87" w:rsidRPr="00A23D87" w:rsidRDefault="00A23D87" w:rsidP="00A23D87">
            <w:r w:rsidRPr="00A23D87">
              <w:t>47.0</w:t>
            </w:r>
          </w:p>
        </w:tc>
        <w:tc>
          <w:tcPr>
            <w:tcW w:w="0" w:type="auto"/>
            <w:vAlign w:val="center"/>
            <w:hideMark/>
          </w:tcPr>
          <w:p w:rsidR="00A23D87" w:rsidRPr="00A23D87" w:rsidRDefault="00A23D87" w:rsidP="00A23D87">
            <w:r w:rsidRPr="00A23D87">
              <w:t>58.0</w:t>
            </w:r>
          </w:p>
        </w:tc>
        <w:tc>
          <w:tcPr>
            <w:tcW w:w="0" w:type="auto"/>
            <w:vAlign w:val="center"/>
            <w:hideMark/>
          </w:tcPr>
          <w:p w:rsidR="00A23D87" w:rsidRPr="00A23D87" w:rsidRDefault="00A23D87" w:rsidP="00A23D87">
            <w:r w:rsidRPr="00A23D87">
              <w:t>0.83</w:t>
            </w:r>
          </w:p>
        </w:tc>
        <w:tc>
          <w:tcPr>
            <w:tcW w:w="0" w:type="auto"/>
            <w:vAlign w:val="center"/>
            <w:hideMark/>
          </w:tcPr>
          <w:p w:rsidR="00A23D87" w:rsidRPr="00A23D87" w:rsidRDefault="00A23D87" w:rsidP="00A23D87">
            <w:r w:rsidRPr="00A23D87">
              <w:t>0.77</w:t>
            </w:r>
          </w:p>
        </w:tc>
        <w:tc>
          <w:tcPr>
            <w:tcW w:w="0" w:type="auto"/>
            <w:vAlign w:val="center"/>
            <w:hideMark/>
          </w:tcPr>
          <w:p w:rsidR="00A23D87" w:rsidRPr="00A23D87" w:rsidRDefault="00A23D87" w:rsidP="00A23D87">
            <w:r w:rsidRPr="00A23D87">
              <w:t>−0.86</w:t>
            </w:r>
          </w:p>
        </w:tc>
        <w:tc>
          <w:tcPr>
            <w:tcW w:w="0" w:type="auto"/>
            <w:vAlign w:val="center"/>
            <w:hideMark/>
          </w:tcPr>
          <w:p w:rsidR="00A23D87" w:rsidRPr="00A23D87" w:rsidRDefault="00A23D87" w:rsidP="00A23D87">
            <w:r w:rsidRPr="00A23D87">
              <w:t>−1.12</w:t>
            </w:r>
          </w:p>
        </w:tc>
      </w:tr>
    </w:tbl>
    <w:p w:rsidR="00A23D87" w:rsidRPr="00A23D87" w:rsidRDefault="00A23D87" w:rsidP="00A23D87">
      <w:r w:rsidRPr="00A23D87">
        <w:t>Source: United Nations (2000) pp. 28–31, 72–73, 76–77</w:t>
      </w:r>
    </w:p>
    <w:p w:rsidR="00A23D87" w:rsidRPr="00A23D87" w:rsidRDefault="00A23D87" w:rsidP="00A23D87">
      <w:r w:rsidRPr="00A23D87">
        <w:lastRenderedPageBreak/>
        <w:t>Whereas urbanization, defined in terms of population growth in urban areas, has been driven by economic development, poverty is also urbanizing. This is reflected in poor housing, urban infrastructural support, and social and reproductive health services. The per capita GDP figures illustrated in Table </w:t>
      </w:r>
      <w:hyperlink r:id="rId19" w:tgtFrame="table" w:history="1">
        <w:r w:rsidRPr="00A23D87">
          <w:rPr>
            <w:rStyle w:val="Hyperlink"/>
          </w:rPr>
          <w:t>2</w:t>
        </w:r>
      </w:hyperlink>
      <w:r w:rsidRPr="00A23D87">
        <w:t xml:space="preserve"> are higher in the relatively more urbanized and developed countries including South Korea and Japan. Per capita GDP figures are double or triple those in other developing Asian countries, which are also less urbanized (see Table </w:t>
      </w:r>
      <w:hyperlink r:id="rId20" w:tgtFrame="table" w:history="1">
        <w:r w:rsidRPr="00A23D87">
          <w:rPr>
            <w:rStyle w:val="Hyperlink"/>
          </w:rPr>
          <w:t>2</w:t>
        </w:r>
      </w:hyperlink>
      <w:r w:rsidRPr="00A23D87">
        <w:t xml:space="preserve">). This reflects the drawing power of cities for rural migrants seeking more economic opportunities. </w:t>
      </w:r>
    </w:p>
    <w:p w:rsidR="00A23D87" w:rsidRPr="00A23D87" w:rsidRDefault="00A23D87" w:rsidP="00A23D87">
      <w:pPr>
        <w:rPr>
          <w:b/>
          <w:bCs/>
        </w:rPr>
      </w:pPr>
      <w:r w:rsidRPr="00A23D87">
        <w:rPr>
          <w:b/>
          <w:bCs/>
        </w:rPr>
        <w:t>TABLE 2</w:t>
      </w:r>
    </w:p>
    <w:p w:rsidR="00A23D87" w:rsidRPr="00A23D87" w:rsidRDefault="00A23D87" w:rsidP="00A23D87">
      <w:r w:rsidRPr="00A23D87">
        <w:t>Urbanization and national GDP</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50"/>
        <w:gridCol w:w="3351"/>
        <w:gridCol w:w="2593"/>
      </w:tblGrid>
      <w:tr w:rsidR="00A23D87" w:rsidRPr="00A23D87" w:rsidTr="00A23D87">
        <w:trPr>
          <w:tblHeader/>
          <w:tblCellSpacing w:w="15" w:type="dxa"/>
        </w:trPr>
        <w:tc>
          <w:tcPr>
            <w:tcW w:w="0" w:type="auto"/>
            <w:vAlign w:val="center"/>
            <w:hideMark/>
          </w:tcPr>
          <w:p w:rsidR="00A23D87" w:rsidRPr="00A23D87" w:rsidRDefault="00A23D87" w:rsidP="00A23D87">
            <w:pPr>
              <w:rPr>
                <w:b/>
                <w:bCs/>
              </w:rPr>
            </w:pPr>
            <w:r w:rsidRPr="00A23D87">
              <w:rPr>
                <w:b/>
                <w:bCs/>
              </w:rPr>
              <w:t> </w:t>
            </w:r>
          </w:p>
        </w:tc>
        <w:tc>
          <w:tcPr>
            <w:tcW w:w="0" w:type="auto"/>
            <w:vAlign w:val="center"/>
            <w:hideMark/>
          </w:tcPr>
          <w:p w:rsidR="00A23D87" w:rsidRPr="00A23D87" w:rsidRDefault="00A23D87" w:rsidP="00A23D87">
            <w:pPr>
              <w:rPr>
                <w:b/>
                <w:bCs/>
              </w:rPr>
            </w:pPr>
            <w:r w:rsidRPr="00A23D87">
              <w:rPr>
                <w:b/>
                <w:bCs/>
              </w:rPr>
              <w:t>National GDP per capita, 2004 (US$)</w:t>
            </w:r>
          </w:p>
        </w:tc>
        <w:tc>
          <w:tcPr>
            <w:tcW w:w="0" w:type="auto"/>
            <w:vAlign w:val="center"/>
            <w:hideMark/>
          </w:tcPr>
          <w:p w:rsidR="00A23D87" w:rsidRPr="00A23D87" w:rsidRDefault="00A23D87" w:rsidP="00A23D87">
            <w:pPr>
              <w:rPr>
                <w:b/>
                <w:bCs/>
              </w:rPr>
            </w:pPr>
            <w:r w:rsidRPr="00A23D87">
              <w:rPr>
                <w:b/>
                <w:bCs/>
              </w:rPr>
              <w:t>Urban population, 2000 (%)</w:t>
            </w:r>
          </w:p>
        </w:tc>
      </w:tr>
      <w:tr w:rsidR="00A23D87" w:rsidRPr="00A23D87" w:rsidTr="00A23D87">
        <w:trPr>
          <w:tblCellSpacing w:w="15" w:type="dxa"/>
        </w:trPr>
        <w:tc>
          <w:tcPr>
            <w:tcW w:w="0" w:type="auto"/>
            <w:vAlign w:val="center"/>
            <w:hideMark/>
          </w:tcPr>
          <w:p w:rsidR="00A23D87" w:rsidRPr="00A23D87" w:rsidRDefault="00A23D87" w:rsidP="00A23D87">
            <w:r w:rsidRPr="00A23D87">
              <w:t>Japan</w:t>
            </w:r>
          </w:p>
        </w:tc>
        <w:tc>
          <w:tcPr>
            <w:tcW w:w="0" w:type="auto"/>
            <w:vAlign w:val="center"/>
            <w:hideMark/>
          </w:tcPr>
          <w:p w:rsidR="00A23D87" w:rsidRPr="00A23D87" w:rsidRDefault="00A23D87" w:rsidP="00A23D87">
            <w:r w:rsidRPr="00A23D87">
              <w:t>29,251</w:t>
            </w:r>
          </w:p>
        </w:tc>
        <w:tc>
          <w:tcPr>
            <w:tcW w:w="0" w:type="auto"/>
            <w:vAlign w:val="center"/>
            <w:hideMark/>
          </w:tcPr>
          <w:p w:rsidR="00A23D87" w:rsidRPr="00A23D87" w:rsidRDefault="00A23D87" w:rsidP="00A23D87">
            <w:r w:rsidRPr="00A23D87">
              <w:t>78.8</w:t>
            </w:r>
          </w:p>
        </w:tc>
      </w:tr>
      <w:tr w:rsidR="00A23D87" w:rsidRPr="00A23D87" w:rsidTr="00A23D87">
        <w:trPr>
          <w:tblCellSpacing w:w="15" w:type="dxa"/>
        </w:trPr>
        <w:tc>
          <w:tcPr>
            <w:tcW w:w="0" w:type="auto"/>
            <w:vAlign w:val="center"/>
            <w:hideMark/>
          </w:tcPr>
          <w:p w:rsidR="00A23D87" w:rsidRPr="00A23D87" w:rsidRDefault="00A23D87" w:rsidP="00A23D87">
            <w:r w:rsidRPr="00A23D87">
              <w:t>Singapore</w:t>
            </w:r>
          </w:p>
        </w:tc>
        <w:tc>
          <w:tcPr>
            <w:tcW w:w="0" w:type="auto"/>
            <w:vAlign w:val="center"/>
            <w:hideMark/>
          </w:tcPr>
          <w:p w:rsidR="00A23D87" w:rsidRPr="00A23D87" w:rsidRDefault="00A23D87" w:rsidP="00A23D87">
            <w:r w:rsidRPr="00A23D87">
              <w:t>28,077</w:t>
            </w:r>
          </w:p>
        </w:tc>
        <w:tc>
          <w:tcPr>
            <w:tcW w:w="0" w:type="auto"/>
            <w:vAlign w:val="center"/>
            <w:hideMark/>
          </w:tcPr>
          <w:p w:rsidR="00A23D87" w:rsidRPr="00A23D87" w:rsidRDefault="00A23D87" w:rsidP="00A23D87">
            <w:r w:rsidRPr="00A23D87">
              <w:t>100.0</w:t>
            </w:r>
          </w:p>
        </w:tc>
      </w:tr>
      <w:tr w:rsidR="00A23D87" w:rsidRPr="00A23D87" w:rsidTr="00A23D87">
        <w:trPr>
          <w:tblCellSpacing w:w="15" w:type="dxa"/>
        </w:trPr>
        <w:tc>
          <w:tcPr>
            <w:tcW w:w="0" w:type="auto"/>
            <w:vAlign w:val="center"/>
            <w:hideMark/>
          </w:tcPr>
          <w:p w:rsidR="00A23D87" w:rsidRPr="00A23D87" w:rsidRDefault="00A23D87" w:rsidP="00A23D87">
            <w:r w:rsidRPr="00A23D87">
              <w:t>Korea, Democratic Republic</w:t>
            </w:r>
          </w:p>
        </w:tc>
        <w:tc>
          <w:tcPr>
            <w:tcW w:w="0" w:type="auto"/>
            <w:vAlign w:val="center"/>
            <w:hideMark/>
          </w:tcPr>
          <w:p w:rsidR="00A23D87" w:rsidRPr="00A23D87" w:rsidRDefault="00A23D87" w:rsidP="00A23D87">
            <w:r w:rsidRPr="00A23D87">
              <w:t>20,499</w:t>
            </w:r>
          </w:p>
        </w:tc>
        <w:tc>
          <w:tcPr>
            <w:tcW w:w="0" w:type="auto"/>
            <w:vAlign w:val="center"/>
            <w:hideMark/>
          </w:tcPr>
          <w:p w:rsidR="00A23D87" w:rsidRPr="00A23D87" w:rsidRDefault="00A23D87" w:rsidP="00A23D87">
            <w:r w:rsidRPr="00A23D87">
              <w:t>81.9</w:t>
            </w:r>
          </w:p>
        </w:tc>
      </w:tr>
      <w:tr w:rsidR="00A23D87" w:rsidRPr="00A23D87" w:rsidTr="00A23D87">
        <w:trPr>
          <w:tblCellSpacing w:w="15" w:type="dxa"/>
        </w:trPr>
        <w:tc>
          <w:tcPr>
            <w:tcW w:w="0" w:type="auto"/>
            <w:vAlign w:val="center"/>
            <w:hideMark/>
          </w:tcPr>
          <w:p w:rsidR="00A23D87" w:rsidRPr="00A23D87" w:rsidRDefault="00A23D87" w:rsidP="00A23D87">
            <w:r w:rsidRPr="00A23D87">
              <w:t>Thailand</w:t>
            </w:r>
          </w:p>
        </w:tc>
        <w:tc>
          <w:tcPr>
            <w:tcW w:w="0" w:type="auto"/>
            <w:vAlign w:val="center"/>
            <w:hideMark/>
          </w:tcPr>
          <w:p w:rsidR="00A23D87" w:rsidRPr="00A23D87" w:rsidRDefault="00A23D87" w:rsidP="00A23D87">
            <w:r w:rsidRPr="00A23D87">
              <w:t>8,090</w:t>
            </w:r>
          </w:p>
        </w:tc>
        <w:tc>
          <w:tcPr>
            <w:tcW w:w="0" w:type="auto"/>
            <w:vAlign w:val="center"/>
            <w:hideMark/>
          </w:tcPr>
          <w:p w:rsidR="00A23D87" w:rsidRPr="00A23D87" w:rsidRDefault="00A23D87" w:rsidP="00A23D87">
            <w:r w:rsidRPr="00A23D87">
              <w:t>21.6</w:t>
            </w:r>
          </w:p>
        </w:tc>
      </w:tr>
      <w:tr w:rsidR="00A23D87" w:rsidRPr="00A23D87" w:rsidTr="00A23D87">
        <w:trPr>
          <w:tblCellSpacing w:w="15" w:type="dxa"/>
        </w:trPr>
        <w:tc>
          <w:tcPr>
            <w:tcW w:w="0" w:type="auto"/>
            <w:vAlign w:val="center"/>
            <w:hideMark/>
          </w:tcPr>
          <w:p w:rsidR="00A23D87" w:rsidRPr="00A23D87" w:rsidRDefault="00A23D87" w:rsidP="00A23D87">
            <w:r w:rsidRPr="00A23D87">
              <w:t>Philippines</w:t>
            </w:r>
          </w:p>
        </w:tc>
        <w:tc>
          <w:tcPr>
            <w:tcW w:w="0" w:type="auto"/>
            <w:vAlign w:val="center"/>
            <w:hideMark/>
          </w:tcPr>
          <w:p w:rsidR="00A23D87" w:rsidRPr="00A23D87" w:rsidRDefault="00A23D87" w:rsidP="00A23D87">
            <w:r w:rsidRPr="00A23D87">
              <w:t>4,614</w:t>
            </w:r>
          </w:p>
        </w:tc>
        <w:tc>
          <w:tcPr>
            <w:tcW w:w="0" w:type="auto"/>
            <w:vAlign w:val="center"/>
            <w:hideMark/>
          </w:tcPr>
          <w:p w:rsidR="00A23D87" w:rsidRPr="00A23D87" w:rsidRDefault="00A23D87" w:rsidP="00A23D87">
            <w:r w:rsidRPr="00A23D87">
              <w:t>58.6</w:t>
            </w:r>
          </w:p>
        </w:tc>
      </w:tr>
      <w:tr w:rsidR="00A23D87" w:rsidRPr="00A23D87" w:rsidTr="00A23D87">
        <w:trPr>
          <w:tblCellSpacing w:w="15" w:type="dxa"/>
        </w:trPr>
        <w:tc>
          <w:tcPr>
            <w:tcW w:w="0" w:type="auto"/>
            <w:vAlign w:val="center"/>
            <w:hideMark/>
          </w:tcPr>
          <w:p w:rsidR="00A23D87" w:rsidRPr="00A23D87" w:rsidRDefault="00A23D87" w:rsidP="00A23D87">
            <w:r w:rsidRPr="00A23D87">
              <w:t>Indonesia</w:t>
            </w:r>
          </w:p>
        </w:tc>
        <w:tc>
          <w:tcPr>
            <w:tcW w:w="0" w:type="auto"/>
            <w:vAlign w:val="center"/>
            <w:hideMark/>
          </w:tcPr>
          <w:p w:rsidR="00A23D87" w:rsidRPr="00A23D87" w:rsidRDefault="00A23D87" w:rsidP="00A23D87">
            <w:r w:rsidRPr="00A23D87">
              <w:t>3,690</w:t>
            </w:r>
          </w:p>
        </w:tc>
        <w:tc>
          <w:tcPr>
            <w:tcW w:w="0" w:type="auto"/>
            <w:vAlign w:val="center"/>
            <w:hideMark/>
          </w:tcPr>
          <w:p w:rsidR="00A23D87" w:rsidRPr="00A23D87" w:rsidRDefault="00A23D87" w:rsidP="00A23D87">
            <w:r w:rsidRPr="00A23D87">
              <w:t>40.9</w:t>
            </w:r>
          </w:p>
        </w:tc>
      </w:tr>
      <w:tr w:rsidR="00A23D87" w:rsidRPr="00A23D87" w:rsidTr="00A23D87">
        <w:trPr>
          <w:tblCellSpacing w:w="15" w:type="dxa"/>
        </w:trPr>
        <w:tc>
          <w:tcPr>
            <w:tcW w:w="0" w:type="auto"/>
            <w:vAlign w:val="center"/>
            <w:hideMark/>
          </w:tcPr>
          <w:p w:rsidR="00A23D87" w:rsidRPr="00A23D87" w:rsidRDefault="00A23D87" w:rsidP="00A23D87">
            <w:r w:rsidRPr="00A23D87">
              <w:t>China</w:t>
            </w:r>
          </w:p>
        </w:tc>
        <w:tc>
          <w:tcPr>
            <w:tcW w:w="0" w:type="auto"/>
            <w:vAlign w:val="center"/>
            <w:hideMark/>
          </w:tcPr>
          <w:p w:rsidR="00A23D87" w:rsidRPr="00A23D87" w:rsidRDefault="00A23D87" w:rsidP="00A23D87">
            <w:r w:rsidRPr="00A23D87">
              <w:t>5,896</w:t>
            </w:r>
          </w:p>
        </w:tc>
        <w:tc>
          <w:tcPr>
            <w:tcW w:w="0" w:type="auto"/>
            <w:vAlign w:val="center"/>
            <w:hideMark/>
          </w:tcPr>
          <w:p w:rsidR="00A23D87" w:rsidRPr="00A23D87" w:rsidRDefault="00A23D87" w:rsidP="00A23D87">
            <w:r w:rsidRPr="00A23D87">
              <w:t>32.1</w:t>
            </w:r>
          </w:p>
        </w:tc>
      </w:tr>
    </w:tbl>
    <w:p w:rsidR="00A23D87" w:rsidRPr="00A23D87" w:rsidRDefault="00A23D87" w:rsidP="00A23D87">
      <w:r w:rsidRPr="00A23D87">
        <w:t xml:space="preserve">Sources: World Bank (2006) </w:t>
      </w:r>
      <w:r w:rsidRPr="00A23D87">
        <w:rPr>
          <w:i/>
          <w:iCs/>
        </w:rPr>
        <w:t>World Development Indicators 2006</w:t>
      </w:r>
      <w:r w:rsidRPr="00A23D87">
        <w:t>. Washington, DC (CD-ROM); United Nations (2000)</w:t>
      </w:r>
    </w:p>
    <w:p w:rsidR="00A23D87" w:rsidRPr="00A23D87" w:rsidRDefault="00A23D87" w:rsidP="00A23D87">
      <w:r w:rsidRPr="00A23D87">
        <w:t>Indeed, the GDP per capita figures in most cities in Asian developing countries are higher than their national incomes (see Table </w:t>
      </w:r>
      <w:hyperlink r:id="rId21" w:tgtFrame="table" w:history="1">
        <w:r w:rsidRPr="00A23D87">
          <w:rPr>
            <w:rStyle w:val="Hyperlink"/>
          </w:rPr>
          <w:t>3</w:t>
        </w:r>
      </w:hyperlink>
      <w:r w:rsidRPr="00A23D87">
        <w:t>). Effort to slow down or redirect migration from the largest cities to the smaller urban areas has only led to the further expansion of these cities in the developing world.</w:t>
      </w:r>
      <w:hyperlink r:id="rId22" w:anchor="CR3" w:history="1">
        <w:r w:rsidRPr="00A23D87">
          <w:rPr>
            <w:rStyle w:val="Hyperlink"/>
            <w:vertAlign w:val="superscript"/>
          </w:rPr>
          <w:t>3</w:t>
        </w:r>
      </w:hyperlink>
    </w:p>
    <w:p w:rsidR="00A23D87" w:rsidRPr="00A23D87" w:rsidRDefault="00A23D87" w:rsidP="00A23D87">
      <w:pPr>
        <w:rPr>
          <w:b/>
          <w:bCs/>
        </w:rPr>
      </w:pPr>
      <w:r w:rsidRPr="00A23D87">
        <w:rPr>
          <w:b/>
          <w:bCs/>
        </w:rPr>
        <w:t>TABLE 3</w:t>
      </w:r>
    </w:p>
    <w:p w:rsidR="00A23D87" w:rsidRPr="00A23D87" w:rsidRDefault="00A23D87" w:rsidP="00A23D87">
      <w:r w:rsidRPr="00A23D87">
        <w:t>GDP of urban areas compared with national GDP</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88"/>
        <w:gridCol w:w="2164"/>
        <w:gridCol w:w="1817"/>
        <w:gridCol w:w="2972"/>
        <w:gridCol w:w="1609"/>
      </w:tblGrid>
      <w:tr w:rsidR="00A23D87" w:rsidRPr="00A23D87" w:rsidTr="00A23D87">
        <w:trPr>
          <w:tblHeader/>
          <w:tblCellSpacing w:w="15" w:type="dxa"/>
        </w:trPr>
        <w:tc>
          <w:tcPr>
            <w:tcW w:w="0" w:type="auto"/>
            <w:vAlign w:val="center"/>
            <w:hideMark/>
          </w:tcPr>
          <w:p w:rsidR="00A23D87" w:rsidRPr="00A23D87" w:rsidRDefault="00A23D87" w:rsidP="00A23D87">
            <w:pPr>
              <w:rPr>
                <w:b/>
                <w:bCs/>
              </w:rPr>
            </w:pPr>
            <w:r w:rsidRPr="00A23D87">
              <w:rPr>
                <w:b/>
                <w:bCs/>
              </w:rPr>
              <w:t>City</w:t>
            </w:r>
          </w:p>
        </w:tc>
        <w:tc>
          <w:tcPr>
            <w:tcW w:w="0" w:type="auto"/>
            <w:vAlign w:val="center"/>
            <w:hideMark/>
          </w:tcPr>
          <w:p w:rsidR="00A23D87" w:rsidRPr="00A23D87" w:rsidRDefault="00A23D87" w:rsidP="00A23D87">
            <w:pPr>
              <w:rPr>
                <w:b/>
                <w:bCs/>
              </w:rPr>
            </w:pPr>
            <w:r w:rsidRPr="00A23D87">
              <w:rPr>
                <w:b/>
                <w:bCs/>
              </w:rPr>
              <w:t>National GDP per capita (US$)</w:t>
            </w:r>
          </w:p>
        </w:tc>
        <w:tc>
          <w:tcPr>
            <w:tcW w:w="0" w:type="auto"/>
            <w:vAlign w:val="center"/>
            <w:hideMark/>
          </w:tcPr>
          <w:p w:rsidR="00A23D87" w:rsidRPr="00A23D87" w:rsidRDefault="00A23D87" w:rsidP="00A23D87">
            <w:pPr>
              <w:rPr>
                <w:b/>
                <w:bCs/>
              </w:rPr>
            </w:pPr>
            <w:r w:rsidRPr="00A23D87">
              <w:rPr>
                <w:b/>
                <w:bCs/>
              </w:rPr>
              <w:t>City GDP per capita (US$)</w:t>
            </w:r>
          </w:p>
        </w:tc>
        <w:tc>
          <w:tcPr>
            <w:tcW w:w="0" w:type="auto"/>
            <w:vAlign w:val="center"/>
            <w:hideMark/>
          </w:tcPr>
          <w:p w:rsidR="00A23D87" w:rsidRPr="00A23D87" w:rsidRDefault="00A23D87" w:rsidP="00A23D87">
            <w:pPr>
              <w:rPr>
                <w:b/>
                <w:bCs/>
              </w:rPr>
            </w:pPr>
            <w:r w:rsidRPr="00A23D87">
              <w:rPr>
                <w:b/>
                <w:bCs/>
              </w:rPr>
              <w:t>City GDP/capita/national GDP/capita</w:t>
            </w:r>
          </w:p>
        </w:tc>
        <w:tc>
          <w:tcPr>
            <w:tcW w:w="0" w:type="auto"/>
            <w:vAlign w:val="center"/>
            <w:hideMark/>
          </w:tcPr>
          <w:p w:rsidR="00A23D87" w:rsidRPr="00A23D87" w:rsidRDefault="00A23D87" w:rsidP="00A23D87">
            <w:pPr>
              <w:rPr>
                <w:b/>
                <w:bCs/>
              </w:rPr>
            </w:pPr>
            <w:r w:rsidRPr="00A23D87">
              <w:rPr>
                <w:b/>
                <w:bCs/>
              </w:rPr>
              <w:t>City GDP (US$ billion)</w:t>
            </w:r>
          </w:p>
        </w:tc>
      </w:tr>
      <w:tr w:rsidR="00A23D87" w:rsidRPr="00A23D87" w:rsidTr="00A23D87">
        <w:trPr>
          <w:tblCellSpacing w:w="15" w:type="dxa"/>
        </w:trPr>
        <w:tc>
          <w:tcPr>
            <w:tcW w:w="0" w:type="auto"/>
            <w:vAlign w:val="center"/>
            <w:hideMark/>
          </w:tcPr>
          <w:p w:rsidR="00A23D87" w:rsidRPr="00A23D87" w:rsidRDefault="00A23D87" w:rsidP="00A23D87">
            <w:r w:rsidRPr="00A23D87">
              <w:t>Tokyo</w:t>
            </w:r>
          </w:p>
        </w:tc>
        <w:tc>
          <w:tcPr>
            <w:tcW w:w="0" w:type="auto"/>
            <w:vAlign w:val="center"/>
            <w:hideMark/>
          </w:tcPr>
          <w:p w:rsidR="00A23D87" w:rsidRPr="00A23D87" w:rsidRDefault="00A23D87" w:rsidP="00A23D87">
            <w:r w:rsidRPr="00A23D87">
              <w:t>25,430</w:t>
            </w:r>
          </w:p>
        </w:tc>
        <w:tc>
          <w:tcPr>
            <w:tcW w:w="0" w:type="auto"/>
            <w:vAlign w:val="center"/>
            <w:hideMark/>
          </w:tcPr>
          <w:p w:rsidR="00A23D87" w:rsidRPr="00A23D87" w:rsidRDefault="00A23D87" w:rsidP="00A23D87">
            <w:r w:rsidRPr="00A23D87">
              <w:t>35,600</w:t>
            </w:r>
          </w:p>
        </w:tc>
        <w:tc>
          <w:tcPr>
            <w:tcW w:w="0" w:type="auto"/>
            <w:vAlign w:val="center"/>
            <w:hideMark/>
          </w:tcPr>
          <w:p w:rsidR="00A23D87" w:rsidRPr="00A23D87" w:rsidRDefault="00A23D87" w:rsidP="00A23D87">
            <w:r w:rsidRPr="00A23D87">
              <w:t>1.40</w:t>
            </w:r>
          </w:p>
        </w:tc>
        <w:tc>
          <w:tcPr>
            <w:tcW w:w="0" w:type="auto"/>
            <w:vAlign w:val="center"/>
            <w:hideMark/>
          </w:tcPr>
          <w:p w:rsidR="00A23D87" w:rsidRPr="00A23D87" w:rsidRDefault="00A23D87" w:rsidP="00A23D87">
            <w:r w:rsidRPr="00A23D87">
              <w:t>890.1</w:t>
            </w:r>
          </w:p>
        </w:tc>
      </w:tr>
      <w:tr w:rsidR="00A23D87" w:rsidRPr="00A23D87" w:rsidTr="00A23D87">
        <w:trPr>
          <w:tblCellSpacing w:w="15" w:type="dxa"/>
        </w:trPr>
        <w:tc>
          <w:tcPr>
            <w:tcW w:w="0" w:type="auto"/>
            <w:vAlign w:val="center"/>
            <w:hideMark/>
          </w:tcPr>
          <w:p w:rsidR="00A23D87" w:rsidRPr="00A23D87" w:rsidRDefault="00A23D87" w:rsidP="00A23D87">
            <w:r w:rsidRPr="00A23D87">
              <w:t>Osaka</w:t>
            </w:r>
          </w:p>
        </w:tc>
        <w:tc>
          <w:tcPr>
            <w:tcW w:w="0" w:type="auto"/>
            <w:vAlign w:val="center"/>
            <w:hideMark/>
          </w:tcPr>
          <w:p w:rsidR="00A23D87" w:rsidRPr="00A23D87" w:rsidRDefault="00A23D87" w:rsidP="00A23D87">
            <w:r w:rsidRPr="00A23D87">
              <w:t>25,430</w:t>
            </w:r>
          </w:p>
        </w:tc>
        <w:tc>
          <w:tcPr>
            <w:tcW w:w="0" w:type="auto"/>
            <w:vAlign w:val="center"/>
            <w:hideMark/>
          </w:tcPr>
          <w:p w:rsidR="00A23D87" w:rsidRPr="00A23D87" w:rsidRDefault="00A23D87" w:rsidP="00A23D87">
            <w:r w:rsidRPr="00A23D87">
              <w:t>32,300</w:t>
            </w:r>
          </w:p>
        </w:tc>
        <w:tc>
          <w:tcPr>
            <w:tcW w:w="0" w:type="auto"/>
            <w:vAlign w:val="center"/>
            <w:hideMark/>
          </w:tcPr>
          <w:p w:rsidR="00A23D87" w:rsidRPr="00A23D87" w:rsidRDefault="00A23D87" w:rsidP="00A23D87">
            <w:r w:rsidRPr="00A23D87">
              <w:t>1.27</w:t>
            </w:r>
          </w:p>
        </w:tc>
        <w:tc>
          <w:tcPr>
            <w:tcW w:w="0" w:type="auto"/>
            <w:vAlign w:val="center"/>
            <w:hideMark/>
          </w:tcPr>
          <w:p w:rsidR="00A23D87" w:rsidRPr="00A23D87" w:rsidRDefault="00A23D87" w:rsidP="00A23D87">
            <w:r w:rsidRPr="00A23D87">
              <w:t>339.1</w:t>
            </w:r>
          </w:p>
        </w:tc>
      </w:tr>
      <w:tr w:rsidR="00A23D87" w:rsidRPr="00A23D87" w:rsidTr="00A23D87">
        <w:trPr>
          <w:tblCellSpacing w:w="15" w:type="dxa"/>
        </w:trPr>
        <w:tc>
          <w:tcPr>
            <w:tcW w:w="0" w:type="auto"/>
            <w:vAlign w:val="center"/>
            <w:hideMark/>
          </w:tcPr>
          <w:p w:rsidR="00A23D87" w:rsidRPr="00A23D87" w:rsidRDefault="00A23D87" w:rsidP="00A23D87">
            <w:r w:rsidRPr="00A23D87">
              <w:lastRenderedPageBreak/>
              <w:t>Seoul</w:t>
            </w:r>
          </w:p>
        </w:tc>
        <w:tc>
          <w:tcPr>
            <w:tcW w:w="0" w:type="auto"/>
            <w:vAlign w:val="center"/>
            <w:hideMark/>
          </w:tcPr>
          <w:p w:rsidR="00A23D87" w:rsidRPr="00A23D87" w:rsidRDefault="00A23D87" w:rsidP="00A23D87">
            <w:r w:rsidRPr="00A23D87">
              <w:t>5,400</w:t>
            </w:r>
          </w:p>
        </w:tc>
        <w:tc>
          <w:tcPr>
            <w:tcW w:w="0" w:type="auto"/>
            <w:vAlign w:val="center"/>
            <w:hideMark/>
          </w:tcPr>
          <w:p w:rsidR="00A23D87" w:rsidRPr="00A23D87" w:rsidRDefault="00A23D87" w:rsidP="00A23D87">
            <w:r w:rsidRPr="00A23D87">
              <w:t>6,080</w:t>
            </w:r>
          </w:p>
        </w:tc>
        <w:tc>
          <w:tcPr>
            <w:tcW w:w="0" w:type="auto"/>
            <w:vAlign w:val="center"/>
            <w:hideMark/>
          </w:tcPr>
          <w:p w:rsidR="00A23D87" w:rsidRPr="00A23D87" w:rsidRDefault="00A23D87" w:rsidP="00A23D87">
            <w:r w:rsidRPr="00A23D87">
              <w:t>1.13</w:t>
            </w:r>
          </w:p>
        </w:tc>
        <w:tc>
          <w:tcPr>
            <w:tcW w:w="0" w:type="auto"/>
            <w:vAlign w:val="center"/>
            <w:hideMark/>
          </w:tcPr>
          <w:p w:rsidR="00A23D87" w:rsidRPr="00A23D87" w:rsidRDefault="00A23D87" w:rsidP="00A23D87">
            <w:r w:rsidRPr="00A23D87">
              <w:t>66.9</w:t>
            </w:r>
          </w:p>
        </w:tc>
      </w:tr>
      <w:tr w:rsidR="00A23D87" w:rsidRPr="00A23D87" w:rsidTr="00A23D87">
        <w:trPr>
          <w:tblCellSpacing w:w="15" w:type="dxa"/>
        </w:trPr>
        <w:tc>
          <w:tcPr>
            <w:tcW w:w="0" w:type="auto"/>
            <w:vAlign w:val="center"/>
            <w:hideMark/>
          </w:tcPr>
          <w:p w:rsidR="00A23D87" w:rsidRPr="00A23D87" w:rsidRDefault="00A23D87" w:rsidP="00A23D87">
            <w:r w:rsidRPr="00A23D87">
              <w:t>Bangkok</w:t>
            </w:r>
          </w:p>
        </w:tc>
        <w:tc>
          <w:tcPr>
            <w:tcW w:w="0" w:type="auto"/>
            <w:vAlign w:val="center"/>
            <w:hideMark/>
          </w:tcPr>
          <w:p w:rsidR="00A23D87" w:rsidRPr="00A23D87" w:rsidRDefault="00A23D87" w:rsidP="00A23D87">
            <w:r w:rsidRPr="00A23D87">
              <w:t>1,420</w:t>
            </w:r>
          </w:p>
        </w:tc>
        <w:tc>
          <w:tcPr>
            <w:tcW w:w="0" w:type="auto"/>
            <w:vAlign w:val="center"/>
            <w:hideMark/>
          </w:tcPr>
          <w:p w:rsidR="00A23D87" w:rsidRPr="00A23D87" w:rsidRDefault="00A23D87" w:rsidP="00A23D87">
            <w:r w:rsidRPr="00A23D87">
              <w:t>4,900</w:t>
            </w:r>
          </w:p>
        </w:tc>
        <w:tc>
          <w:tcPr>
            <w:tcW w:w="0" w:type="auto"/>
            <w:vAlign w:val="center"/>
            <w:hideMark/>
          </w:tcPr>
          <w:p w:rsidR="00A23D87" w:rsidRPr="00A23D87" w:rsidRDefault="00A23D87" w:rsidP="00A23D87">
            <w:r w:rsidRPr="00A23D87">
              <w:t>3.45</w:t>
            </w:r>
          </w:p>
        </w:tc>
        <w:tc>
          <w:tcPr>
            <w:tcW w:w="0" w:type="auto"/>
            <w:vAlign w:val="center"/>
            <w:hideMark/>
          </w:tcPr>
          <w:p w:rsidR="00A23D87" w:rsidRPr="00A23D87" w:rsidRDefault="00A23D87" w:rsidP="00A23D87">
            <w:r w:rsidRPr="00A23D87">
              <w:t>34.8</w:t>
            </w:r>
          </w:p>
        </w:tc>
      </w:tr>
      <w:tr w:rsidR="00A23D87" w:rsidRPr="00A23D87" w:rsidTr="00A23D87">
        <w:trPr>
          <w:tblCellSpacing w:w="15" w:type="dxa"/>
        </w:trPr>
        <w:tc>
          <w:tcPr>
            <w:tcW w:w="0" w:type="auto"/>
            <w:vAlign w:val="center"/>
            <w:hideMark/>
          </w:tcPr>
          <w:p w:rsidR="00A23D87" w:rsidRPr="00A23D87" w:rsidRDefault="00A23D87" w:rsidP="00A23D87">
            <w:r w:rsidRPr="00A23D87">
              <w:t>Shanghai</w:t>
            </w:r>
          </w:p>
        </w:tc>
        <w:tc>
          <w:tcPr>
            <w:tcW w:w="0" w:type="auto"/>
            <w:vAlign w:val="center"/>
            <w:hideMark/>
          </w:tcPr>
          <w:p w:rsidR="00A23D87" w:rsidRPr="00A23D87" w:rsidRDefault="00A23D87" w:rsidP="00A23D87">
            <w:r w:rsidRPr="00A23D87">
              <w:t>370</w:t>
            </w:r>
          </w:p>
        </w:tc>
        <w:tc>
          <w:tcPr>
            <w:tcW w:w="0" w:type="auto"/>
            <w:vAlign w:val="center"/>
            <w:hideMark/>
          </w:tcPr>
          <w:p w:rsidR="00A23D87" w:rsidRPr="00A23D87" w:rsidRDefault="00A23D87" w:rsidP="00A23D87">
            <w:r w:rsidRPr="00A23D87">
              <w:t>1,350</w:t>
            </w:r>
          </w:p>
        </w:tc>
        <w:tc>
          <w:tcPr>
            <w:tcW w:w="0" w:type="auto"/>
            <w:vAlign w:val="center"/>
            <w:hideMark/>
          </w:tcPr>
          <w:p w:rsidR="00A23D87" w:rsidRPr="00A23D87" w:rsidRDefault="00A23D87" w:rsidP="00A23D87">
            <w:r w:rsidRPr="00A23D87">
              <w:t>3.66</w:t>
            </w:r>
          </w:p>
        </w:tc>
        <w:tc>
          <w:tcPr>
            <w:tcW w:w="0" w:type="auto"/>
            <w:vAlign w:val="center"/>
            <w:hideMark/>
          </w:tcPr>
          <w:p w:rsidR="00A23D87" w:rsidRPr="00A23D87" w:rsidRDefault="00A23D87" w:rsidP="00A23D87">
            <w:r w:rsidRPr="00A23D87">
              <w:t>18.0</w:t>
            </w:r>
          </w:p>
        </w:tc>
      </w:tr>
      <w:tr w:rsidR="00A23D87" w:rsidRPr="00A23D87" w:rsidTr="00A23D87">
        <w:trPr>
          <w:tblCellSpacing w:w="15" w:type="dxa"/>
        </w:trPr>
        <w:tc>
          <w:tcPr>
            <w:tcW w:w="0" w:type="auto"/>
            <w:vAlign w:val="center"/>
            <w:hideMark/>
          </w:tcPr>
          <w:p w:rsidR="00A23D87" w:rsidRPr="00A23D87" w:rsidRDefault="00A23D87" w:rsidP="00A23D87">
            <w:r w:rsidRPr="00A23D87">
              <w:t>Manila</w:t>
            </w:r>
          </w:p>
        </w:tc>
        <w:tc>
          <w:tcPr>
            <w:tcW w:w="0" w:type="auto"/>
            <w:vAlign w:val="center"/>
            <w:hideMark/>
          </w:tcPr>
          <w:p w:rsidR="00A23D87" w:rsidRPr="00A23D87" w:rsidRDefault="00A23D87" w:rsidP="00A23D87">
            <w:r w:rsidRPr="00A23D87">
              <w:t>730</w:t>
            </w:r>
          </w:p>
        </w:tc>
        <w:tc>
          <w:tcPr>
            <w:tcW w:w="0" w:type="auto"/>
            <w:vAlign w:val="center"/>
            <w:hideMark/>
          </w:tcPr>
          <w:p w:rsidR="00A23D87" w:rsidRPr="00A23D87" w:rsidRDefault="00A23D87" w:rsidP="00A23D87">
            <w:r w:rsidRPr="00A23D87">
              <w:t>1,400</w:t>
            </w:r>
          </w:p>
        </w:tc>
        <w:tc>
          <w:tcPr>
            <w:tcW w:w="0" w:type="auto"/>
            <w:vAlign w:val="center"/>
            <w:hideMark/>
          </w:tcPr>
          <w:p w:rsidR="00A23D87" w:rsidRPr="00A23D87" w:rsidRDefault="00A23D87" w:rsidP="00A23D87">
            <w:r w:rsidRPr="00A23D87">
              <w:t>1.92</w:t>
            </w:r>
          </w:p>
        </w:tc>
        <w:tc>
          <w:tcPr>
            <w:tcW w:w="0" w:type="auto"/>
            <w:vAlign w:val="center"/>
            <w:hideMark/>
          </w:tcPr>
          <w:p w:rsidR="00A23D87" w:rsidRPr="00A23D87" w:rsidRDefault="00A23D87" w:rsidP="00A23D87">
            <w:r w:rsidRPr="00A23D87">
              <w:t>12.5</w:t>
            </w:r>
          </w:p>
        </w:tc>
      </w:tr>
      <w:tr w:rsidR="00A23D87" w:rsidRPr="00A23D87" w:rsidTr="00A23D87">
        <w:trPr>
          <w:tblCellSpacing w:w="15" w:type="dxa"/>
        </w:trPr>
        <w:tc>
          <w:tcPr>
            <w:tcW w:w="0" w:type="auto"/>
            <w:vAlign w:val="center"/>
            <w:hideMark/>
          </w:tcPr>
          <w:p w:rsidR="00A23D87" w:rsidRPr="00A23D87" w:rsidRDefault="00A23D87" w:rsidP="00A23D87">
            <w:r w:rsidRPr="00A23D87">
              <w:t>Jakarta</w:t>
            </w:r>
          </w:p>
        </w:tc>
        <w:tc>
          <w:tcPr>
            <w:tcW w:w="0" w:type="auto"/>
            <w:vAlign w:val="center"/>
            <w:hideMark/>
          </w:tcPr>
          <w:p w:rsidR="00A23D87" w:rsidRPr="00A23D87" w:rsidRDefault="00A23D87" w:rsidP="00A23D87">
            <w:r w:rsidRPr="00A23D87">
              <w:t>570</w:t>
            </w:r>
          </w:p>
        </w:tc>
        <w:tc>
          <w:tcPr>
            <w:tcW w:w="0" w:type="auto"/>
            <w:vAlign w:val="center"/>
            <w:hideMark/>
          </w:tcPr>
          <w:p w:rsidR="00A23D87" w:rsidRPr="00A23D87" w:rsidRDefault="00A23D87" w:rsidP="00A23D87">
            <w:r w:rsidRPr="00A23D87">
              <w:t>1,230</w:t>
            </w:r>
          </w:p>
        </w:tc>
        <w:tc>
          <w:tcPr>
            <w:tcW w:w="0" w:type="auto"/>
            <w:vAlign w:val="center"/>
            <w:hideMark/>
          </w:tcPr>
          <w:p w:rsidR="00A23D87" w:rsidRPr="00A23D87" w:rsidRDefault="00A23D87" w:rsidP="00A23D87">
            <w:r w:rsidRPr="00A23D87">
              <w:t>2.15</w:t>
            </w:r>
          </w:p>
        </w:tc>
        <w:tc>
          <w:tcPr>
            <w:tcW w:w="0" w:type="auto"/>
            <w:vAlign w:val="center"/>
            <w:hideMark/>
          </w:tcPr>
          <w:p w:rsidR="00A23D87" w:rsidRPr="00A23D87" w:rsidRDefault="00A23D87" w:rsidP="00A23D87">
            <w:r w:rsidRPr="00A23D87">
              <w:t>11.3</w:t>
            </w:r>
          </w:p>
        </w:tc>
      </w:tr>
      <w:tr w:rsidR="00A23D87" w:rsidRPr="00A23D87" w:rsidTr="00A23D87">
        <w:trPr>
          <w:tblCellSpacing w:w="15" w:type="dxa"/>
        </w:trPr>
        <w:tc>
          <w:tcPr>
            <w:tcW w:w="0" w:type="auto"/>
            <w:vAlign w:val="center"/>
            <w:hideMark/>
          </w:tcPr>
          <w:p w:rsidR="00A23D87" w:rsidRPr="00A23D87" w:rsidRDefault="00A23D87" w:rsidP="00A23D87">
            <w:r w:rsidRPr="00A23D87">
              <w:t>Calcutta</w:t>
            </w:r>
          </w:p>
        </w:tc>
        <w:tc>
          <w:tcPr>
            <w:tcW w:w="0" w:type="auto"/>
            <w:vAlign w:val="center"/>
            <w:hideMark/>
          </w:tcPr>
          <w:p w:rsidR="00A23D87" w:rsidRPr="00A23D87" w:rsidRDefault="00A23D87" w:rsidP="00A23D87">
            <w:r w:rsidRPr="00A23D87">
              <w:t>350</w:t>
            </w:r>
          </w:p>
        </w:tc>
        <w:tc>
          <w:tcPr>
            <w:tcW w:w="0" w:type="auto"/>
            <w:vAlign w:val="center"/>
            <w:hideMark/>
          </w:tcPr>
          <w:p w:rsidR="00A23D87" w:rsidRPr="00A23D87" w:rsidRDefault="00A23D87" w:rsidP="00A23D87">
            <w:r w:rsidRPr="00A23D87">
              <w:t>875</w:t>
            </w:r>
          </w:p>
        </w:tc>
        <w:tc>
          <w:tcPr>
            <w:tcW w:w="0" w:type="auto"/>
            <w:vAlign w:val="center"/>
            <w:hideMark/>
          </w:tcPr>
          <w:p w:rsidR="00A23D87" w:rsidRPr="00A23D87" w:rsidRDefault="00A23D87" w:rsidP="00A23D87">
            <w:r w:rsidRPr="00A23D87">
              <w:t>2.50</w:t>
            </w:r>
          </w:p>
        </w:tc>
        <w:tc>
          <w:tcPr>
            <w:tcW w:w="0" w:type="auto"/>
            <w:vAlign w:val="center"/>
            <w:hideMark/>
          </w:tcPr>
          <w:p w:rsidR="00A23D87" w:rsidRPr="00A23D87" w:rsidRDefault="00A23D87" w:rsidP="00A23D87">
            <w:r w:rsidRPr="00A23D87">
              <w:t>9.4</w:t>
            </w:r>
          </w:p>
        </w:tc>
      </w:tr>
    </w:tbl>
    <w:p w:rsidR="00A23D87" w:rsidRPr="00A23D87" w:rsidRDefault="00A23D87" w:rsidP="00A23D87">
      <w:r w:rsidRPr="00A23D87">
        <w:t xml:space="preserve">Source: </w:t>
      </w:r>
      <w:proofErr w:type="spellStart"/>
      <w:r w:rsidRPr="00A23D87">
        <w:t>Prud’homme</w:t>
      </w:r>
      <w:proofErr w:type="spellEnd"/>
      <w:r w:rsidRPr="00A23D87">
        <w:t xml:space="preserve"> (1996) p. 101–103</w:t>
      </w:r>
    </w:p>
    <w:p w:rsidR="00A23D87" w:rsidRPr="00A23D87" w:rsidRDefault="00A23D87" w:rsidP="00A23D87">
      <w:r w:rsidRPr="00A23D87">
        <w:t>The Philippines is seeing rapid urbanization also because of the push from the rural areas where drought and low farm productivity are driving migrants to cities. The concentration of economic development in a few cities and particularly the largest implies a population boom in very short periods of time that in turn severely tests the coping capacity of city governments. One of the most visible outcomes of the rapid urbanization has thus been the persistence and formation of slums.</w:t>
      </w:r>
    </w:p>
    <w:p w:rsidR="00A23D87" w:rsidRPr="00A23D87" w:rsidRDefault="00A23D87" w:rsidP="00A23D87">
      <w:hyperlink r:id="rId23" w:tooltip="Go to other sections in this page" w:history="1">
        <w:r w:rsidRPr="00A23D87">
          <w:rPr>
            <w:rStyle w:val="Hyperlink"/>
          </w:rPr>
          <w:t>Go to:</w:t>
        </w:r>
      </w:hyperlink>
    </w:p>
    <w:p w:rsidR="00A23D87" w:rsidRPr="00A23D87" w:rsidRDefault="00A23D87" w:rsidP="00A23D87">
      <w:pPr>
        <w:rPr>
          <w:b/>
          <w:bCs/>
        </w:rPr>
      </w:pPr>
      <w:r w:rsidRPr="00A23D87">
        <w:rPr>
          <w:b/>
          <w:bCs/>
        </w:rPr>
        <w:t>URBAN SLUM FORMATION</w:t>
      </w:r>
    </w:p>
    <w:p w:rsidR="00A23D87" w:rsidRPr="00A23D87" w:rsidRDefault="00A23D87" w:rsidP="00A23D87">
      <w:r w:rsidRPr="00A23D87">
        <w:t>One billion people or one third of the world’s population is estimated to be living in either slum or squatter settlements.</w:t>
      </w:r>
      <w:hyperlink r:id="rId24" w:anchor="CR4" w:history="1">
        <w:r w:rsidRPr="00A23D87">
          <w:rPr>
            <w:rStyle w:val="Hyperlink"/>
            <w:vertAlign w:val="superscript"/>
          </w:rPr>
          <w:t>4</w:t>
        </w:r>
      </w:hyperlink>
      <w:r w:rsidRPr="00A23D87">
        <w:t xml:space="preserve"> The largest proportion of population living in slums in the world is in the Asian region, which is also urbanizing at the fastest rate. In 2001, Asia had 554 million slum dwellers, or 60% of the world’s total. In South Asia, slum and squatter settlement population constituted 58% of total urban population compared to 36.4% in East Asia and 28% in Southeast Asia.</w:t>
      </w:r>
      <w:hyperlink r:id="rId25" w:anchor="CR5" w:history="1">
        <w:r w:rsidRPr="00A23D87">
          <w:rPr>
            <w:rStyle w:val="Hyperlink"/>
            <w:vertAlign w:val="superscript"/>
          </w:rPr>
          <w:t>5</w:t>
        </w:r>
      </w:hyperlink>
      <w:r w:rsidRPr="00A23D87">
        <w:t xml:space="preserve"> The estimates of population in slums in Table </w:t>
      </w:r>
      <w:hyperlink r:id="rId26" w:tgtFrame="table" w:history="1">
        <w:r w:rsidRPr="00A23D87">
          <w:rPr>
            <w:rStyle w:val="Hyperlink"/>
          </w:rPr>
          <w:t>4</w:t>
        </w:r>
      </w:hyperlink>
      <w:r w:rsidRPr="00A23D87">
        <w:t xml:space="preserve"> show that the proportion of slum population in cities is generally higher than that of the world as a whole. In Southeast Asia, where urban population is 38.3% of the total population, 28% of this urban population is living in slums (see Table </w:t>
      </w:r>
      <w:hyperlink r:id="rId27" w:tgtFrame="table" w:history="1">
        <w:r w:rsidRPr="00A23D87">
          <w:rPr>
            <w:rStyle w:val="Hyperlink"/>
          </w:rPr>
          <w:t>4</w:t>
        </w:r>
      </w:hyperlink>
      <w:r w:rsidRPr="00A23D87">
        <w:t xml:space="preserve">). </w:t>
      </w:r>
    </w:p>
    <w:p w:rsidR="00A23D87" w:rsidRPr="00A23D87" w:rsidRDefault="00A23D87" w:rsidP="00A23D87">
      <w:pPr>
        <w:rPr>
          <w:b/>
          <w:bCs/>
        </w:rPr>
      </w:pPr>
      <w:r w:rsidRPr="00A23D87">
        <w:rPr>
          <w:b/>
          <w:bCs/>
        </w:rPr>
        <w:t>TABLE 4</w:t>
      </w:r>
    </w:p>
    <w:p w:rsidR="00A23D87" w:rsidRPr="00A23D87" w:rsidRDefault="00A23D87" w:rsidP="00A23D87">
      <w:r w:rsidRPr="00A23D87">
        <w:t>Population living in slums (UN-HABITAT, 2001 estimates)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36"/>
        <w:gridCol w:w="1763"/>
        <w:gridCol w:w="2053"/>
        <w:gridCol w:w="1763"/>
        <w:gridCol w:w="2235"/>
      </w:tblGrid>
      <w:tr w:rsidR="00A23D87" w:rsidRPr="00A23D87" w:rsidTr="00A23D87">
        <w:trPr>
          <w:tblHeader/>
          <w:tblCellSpacing w:w="15" w:type="dxa"/>
        </w:trPr>
        <w:tc>
          <w:tcPr>
            <w:tcW w:w="0" w:type="auto"/>
            <w:vAlign w:val="center"/>
            <w:hideMark/>
          </w:tcPr>
          <w:p w:rsidR="00A23D87" w:rsidRPr="00A23D87" w:rsidRDefault="00A23D87" w:rsidP="00A23D87">
            <w:pPr>
              <w:rPr>
                <w:b/>
                <w:bCs/>
              </w:rPr>
            </w:pPr>
            <w:r w:rsidRPr="00A23D87">
              <w:rPr>
                <w:b/>
                <w:bCs/>
              </w:rPr>
              <w:t> </w:t>
            </w:r>
          </w:p>
        </w:tc>
        <w:tc>
          <w:tcPr>
            <w:tcW w:w="0" w:type="auto"/>
            <w:vAlign w:val="center"/>
            <w:hideMark/>
          </w:tcPr>
          <w:p w:rsidR="00A23D87" w:rsidRPr="00A23D87" w:rsidRDefault="00A23D87" w:rsidP="00A23D87">
            <w:pPr>
              <w:rPr>
                <w:b/>
                <w:bCs/>
              </w:rPr>
            </w:pPr>
            <w:r w:rsidRPr="00A23D87">
              <w:rPr>
                <w:b/>
                <w:bCs/>
              </w:rPr>
              <w:t>Total urban population (millions)</w:t>
            </w:r>
          </w:p>
        </w:tc>
        <w:tc>
          <w:tcPr>
            <w:tcW w:w="0" w:type="auto"/>
            <w:vAlign w:val="center"/>
            <w:hideMark/>
          </w:tcPr>
          <w:p w:rsidR="00A23D87" w:rsidRPr="00A23D87" w:rsidRDefault="00A23D87" w:rsidP="00A23D87">
            <w:pPr>
              <w:rPr>
                <w:b/>
                <w:bCs/>
              </w:rPr>
            </w:pPr>
            <w:r w:rsidRPr="00A23D87">
              <w:rPr>
                <w:b/>
                <w:bCs/>
              </w:rPr>
              <w:t>Urban population as % of total population</w:t>
            </w:r>
          </w:p>
        </w:tc>
        <w:tc>
          <w:tcPr>
            <w:tcW w:w="0" w:type="auto"/>
            <w:vAlign w:val="center"/>
            <w:hideMark/>
          </w:tcPr>
          <w:p w:rsidR="00A23D87" w:rsidRPr="00A23D87" w:rsidRDefault="00A23D87" w:rsidP="00A23D87">
            <w:pPr>
              <w:rPr>
                <w:b/>
                <w:bCs/>
              </w:rPr>
            </w:pPr>
            <w:r w:rsidRPr="00A23D87">
              <w:rPr>
                <w:b/>
                <w:bCs/>
              </w:rPr>
              <w:t>Urban slum population (millions)</w:t>
            </w:r>
          </w:p>
        </w:tc>
        <w:tc>
          <w:tcPr>
            <w:tcW w:w="0" w:type="auto"/>
            <w:vAlign w:val="center"/>
            <w:hideMark/>
          </w:tcPr>
          <w:p w:rsidR="00A23D87" w:rsidRPr="00A23D87" w:rsidRDefault="00A23D87" w:rsidP="00A23D87">
            <w:pPr>
              <w:rPr>
                <w:b/>
                <w:bCs/>
              </w:rPr>
            </w:pPr>
            <w:r w:rsidRPr="00A23D87">
              <w:rPr>
                <w:b/>
                <w:bCs/>
              </w:rPr>
              <w:t>Slum population as % of total urban population</w:t>
            </w:r>
          </w:p>
        </w:tc>
      </w:tr>
      <w:tr w:rsidR="00A23D87" w:rsidRPr="00A23D87" w:rsidTr="00A23D87">
        <w:trPr>
          <w:tblCellSpacing w:w="15" w:type="dxa"/>
        </w:trPr>
        <w:tc>
          <w:tcPr>
            <w:tcW w:w="0" w:type="auto"/>
            <w:vAlign w:val="center"/>
            <w:hideMark/>
          </w:tcPr>
          <w:p w:rsidR="00A23D87" w:rsidRPr="00A23D87" w:rsidRDefault="00A23D87" w:rsidP="00A23D87">
            <w:r w:rsidRPr="00A23D87">
              <w:lastRenderedPageBreak/>
              <w:t>World</w:t>
            </w:r>
          </w:p>
        </w:tc>
        <w:tc>
          <w:tcPr>
            <w:tcW w:w="0" w:type="auto"/>
            <w:vAlign w:val="center"/>
            <w:hideMark/>
          </w:tcPr>
          <w:p w:rsidR="00A23D87" w:rsidRPr="00A23D87" w:rsidRDefault="00A23D87" w:rsidP="00A23D87">
            <w:r w:rsidRPr="00A23D87">
              <w:t>2,923</w:t>
            </w:r>
          </w:p>
        </w:tc>
        <w:tc>
          <w:tcPr>
            <w:tcW w:w="0" w:type="auto"/>
            <w:vAlign w:val="center"/>
            <w:hideMark/>
          </w:tcPr>
          <w:p w:rsidR="00A23D87" w:rsidRPr="00A23D87" w:rsidRDefault="00A23D87" w:rsidP="00A23D87">
            <w:r w:rsidRPr="00A23D87">
              <w:t>47.7</w:t>
            </w:r>
          </w:p>
        </w:tc>
        <w:tc>
          <w:tcPr>
            <w:tcW w:w="0" w:type="auto"/>
            <w:vAlign w:val="center"/>
            <w:hideMark/>
          </w:tcPr>
          <w:p w:rsidR="00A23D87" w:rsidRPr="00A23D87" w:rsidRDefault="00A23D87" w:rsidP="00A23D87">
            <w:r w:rsidRPr="00A23D87">
              <w:t>924</w:t>
            </w:r>
          </w:p>
        </w:tc>
        <w:tc>
          <w:tcPr>
            <w:tcW w:w="0" w:type="auto"/>
            <w:vAlign w:val="center"/>
            <w:hideMark/>
          </w:tcPr>
          <w:p w:rsidR="00A23D87" w:rsidRPr="00A23D87" w:rsidRDefault="00A23D87" w:rsidP="00A23D87">
            <w:r w:rsidRPr="00A23D87">
              <w:t>31.6</w:t>
            </w:r>
          </w:p>
        </w:tc>
      </w:tr>
      <w:tr w:rsidR="00A23D87" w:rsidRPr="00A23D87" w:rsidTr="00A23D87">
        <w:trPr>
          <w:tblCellSpacing w:w="15" w:type="dxa"/>
        </w:trPr>
        <w:tc>
          <w:tcPr>
            <w:tcW w:w="0" w:type="auto"/>
            <w:vAlign w:val="center"/>
            <w:hideMark/>
          </w:tcPr>
          <w:p w:rsidR="00A23D87" w:rsidRPr="00A23D87" w:rsidRDefault="00A23D87" w:rsidP="00A23D87">
            <w:r w:rsidRPr="00A23D87">
              <w:t>Developed regions</w:t>
            </w:r>
          </w:p>
        </w:tc>
        <w:tc>
          <w:tcPr>
            <w:tcW w:w="0" w:type="auto"/>
            <w:vAlign w:val="center"/>
            <w:hideMark/>
          </w:tcPr>
          <w:p w:rsidR="00A23D87" w:rsidRPr="00A23D87" w:rsidRDefault="00A23D87" w:rsidP="00A23D87">
            <w:r w:rsidRPr="00A23D87">
              <w:t>902</w:t>
            </w:r>
          </w:p>
        </w:tc>
        <w:tc>
          <w:tcPr>
            <w:tcW w:w="0" w:type="auto"/>
            <w:vAlign w:val="center"/>
            <w:hideMark/>
          </w:tcPr>
          <w:p w:rsidR="00A23D87" w:rsidRPr="00A23D87" w:rsidRDefault="00A23D87" w:rsidP="00A23D87">
            <w:r w:rsidRPr="00A23D87">
              <w:t>75.5</w:t>
            </w:r>
          </w:p>
        </w:tc>
        <w:tc>
          <w:tcPr>
            <w:tcW w:w="0" w:type="auto"/>
            <w:vAlign w:val="center"/>
            <w:hideMark/>
          </w:tcPr>
          <w:p w:rsidR="00A23D87" w:rsidRPr="00A23D87" w:rsidRDefault="00A23D87" w:rsidP="00A23D87">
            <w:r w:rsidRPr="00A23D87">
              <w:t>54</w:t>
            </w:r>
          </w:p>
        </w:tc>
        <w:tc>
          <w:tcPr>
            <w:tcW w:w="0" w:type="auto"/>
            <w:vAlign w:val="center"/>
            <w:hideMark/>
          </w:tcPr>
          <w:p w:rsidR="00A23D87" w:rsidRPr="00A23D87" w:rsidRDefault="00A23D87" w:rsidP="00A23D87">
            <w:r w:rsidRPr="00A23D87">
              <w:t>6.0</w:t>
            </w:r>
          </w:p>
        </w:tc>
      </w:tr>
      <w:tr w:rsidR="00A23D87" w:rsidRPr="00A23D87" w:rsidTr="00A23D87">
        <w:trPr>
          <w:tblCellSpacing w:w="15" w:type="dxa"/>
        </w:trPr>
        <w:tc>
          <w:tcPr>
            <w:tcW w:w="0" w:type="auto"/>
            <w:vAlign w:val="center"/>
            <w:hideMark/>
          </w:tcPr>
          <w:p w:rsidR="00A23D87" w:rsidRPr="00A23D87" w:rsidRDefault="00A23D87" w:rsidP="00A23D87">
            <w:r w:rsidRPr="00A23D87">
              <w:t> Europe</w:t>
            </w:r>
          </w:p>
        </w:tc>
        <w:tc>
          <w:tcPr>
            <w:tcW w:w="0" w:type="auto"/>
            <w:vAlign w:val="center"/>
            <w:hideMark/>
          </w:tcPr>
          <w:p w:rsidR="00A23D87" w:rsidRPr="00A23D87" w:rsidRDefault="00A23D87" w:rsidP="00A23D87">
            <w:r w:rsidRPr="00A23D87">
              <w:t>534</w:t>
            </w:r>
          </w:p>
        </w:tc>
        <w:tc>
          <w:tcPr>
            <w:tcW w:w="0" w:type="auto"/>
            <w:vAlign w:val="center"/>
            <w:hideMark/>
          </w:tcPr>
          <w:p w:rsidR="00A23D87" w:rsidRPr="00A23D87" w:rsidRDefault="00A23D87" w:rsidP="00A23D87">
            <w:r w:rsidRPr="00A23D87">
              <w:t>73.6</w:t>
            </w:r>
          </w:p>
        </w:tc>
        <w:tc>
          <w:tcPr>
            <w:tcW w:w="0" w:type="auto"/>
            <w:vAlign w:val="center"/>
            <w:hideMark/>
          </w:tcPr>
          <w:p w:rsidR="00A23D87" w:rsidRPr="00A23D87" w:rsidRDefault="00A23D87" w:rsidP="00A23D87">
            <w:r w:rsidRPr="00A23D87">
              <w:t>33</w:t>
            </w:r>
          </w:p>
        </w:tc>
        <w:tc>
          <w:tcPr>
            <w:tcW w:w="0" w:type="auto"/>
            <w:vAlign w:val="center"/>
            <w:hideMark/>
          </w:tcPr>
          <w:p w:rsidR="00A23D87" w:rsidRPr="00A23D87" w:rsidRDefault="00A23D87" w:rsidP="00A23D87">
            <w:r w:rsidRPr="00A23D87">
              <w:t>6.2</w:t>
            </w:r>
          </w:p>
        </w:tc>
      </w:tr>
      <w:tr w:rsidR="00A23D87" w:rsidRPr="00A23D87" w:rsidTr="00A23D87">
        <w:trPr>
          <w:tblCellSpacing w:w="15" w:type="dxa"/>
        </w:trPr>
        <w:tc>
          <w:tcPr>
            <w:tcW w:w="0" w:type="auto"/>
            <w:vAlign w:val="center"/>
            <w:hideMark/>
          </w:tcPr>
          <w:p w:rsidR="00A23D87" w:rsidRPr="00A23D87" w:rsidRDefault="00A23D87" w:rsidP="00A23D87">
            <w:r w:rsidRPr="00A23D87">
              <w:t> Others</w:t>
            </w:r>
          </w:p>
        </w:tc>
        <w:tc>
          <w:tcPr>
            <w:tcW w:w="0" w:type="auto"/>
            <w:vAlign w:val="center"/>
            <w:hideMark/>
          </w:tcPr>
          <w:p w:rsidR="00A23D87" w:rsidRPr="00A23D87" w:rsidRDefault="00A23D87" w:rsidP="00A23D87">
            <w:r w:rsidRPr="00A23D87">
              <w:t>367</w:t>
            </w:r>
          </w:p>
        </w:tc>
        <w:tc>
          <w:tcPr>
            <w:tcW w:w="0" w:type="auto"/>
            <w:vAlign w:val="center"/>
            <w:hideMark/>
          </w:tcPr>
          <w:p w:rsidR="00A23D87" w:rsidRPr="00A23D87" w:rsidRDefault="00A23D87" w:rsidP="00A23D87">
            <w:r w:rsidRPr="00A23D87">
              <w:t>78.6</w:t>
            </w:r>
          </w:p>
        </w:tc>
        <w:tc>
          <w:tcPr>
            <w:tcW w:w="0" w:type="auto"/>
            <w:vAlign w:val="center"/>
            <w:hideMark/>
          </w:tcPr>
          <w:p w:rsidR="00A23D87" w:rsidRPr="00A23D87" w:rsidRDefault="00A23D87" w:rsidP="00A23D87">
            <w:r w:rsidRPr="00A23D87">
              <w:t>21</w:t>
            </w:r>
          </w:p>
        </w:tc>
        <w:tc>
          <w:tcPr>
            <w:tcW w:w="0" w:type="auto"/>
            <w:vAlign w:val="center"/>
            <w:hideMark/>
          </w:tcPr>
          <w:p w:rsidR="00A23D87" w:rsidRPr="00A23D87" w:rsidRDefault="00A23D87" w:rsidP="00A23D87">
            <w:r w:rsidRPr="00A23D87">
              <w:t>5.7</w:t>
            </w:r>
          </w:p>
        </w:tc>
      </w:tr>
      <w:tr w:rsidR="00A23D87" w:rsidRPr="00A23D87" w:rsidTr="00A23D87">
        <w:trPr>
          <w:tblCellSpacing w:w="15" w:type="dxa"/>
        </w:trPr>
        <w:tc>
          <w:tcPr>
            <w:tcW w:w="0" w:type="auto"/>
            <w:vAlign w:val="center"/>
            <w:hideMark/>
          </w:tcPr>
          <w:p w:rsidR="00A23D87" w:rsidRPr="00A23D87" w:rsidRDefault="00A23D87" w:rsidP="00A23D87">
            <w:r w:rsidRPr="00A23D87">
              <w:t>Developing regions</w:t>
            </w:r>
          </w:p>
        </w:tc>
        <w:tc>
          <w:tcPr>
            <w:tcW w:w="0" w:type="auto"/>
            <w:vAlign w:val="center"/>
            <w:hideMark/>
          </w:tcPr>
          <w:p w:rsidR="00A23D87" w:rsidRPr="00A23D87" w:rsidRDefault="00A23D87" w:rsidP="00A23D87">
            <w:r w:rsidRPr="00A23D87">
              <w:t>2,022</w:t>
            </w:r>
          </w:p>
        </w:tc>
        <w:tc>
          <w:tcPr>
            <w:tcW w:w="0" w:type="auto"/>
            <w:vAlign w:val="center"/>
            <w:hideMark/>
          </w:tcPr>
          <w:p w:rsidR="00A23D87" w:rsidRPr="00A23D87" w:rsidRDefault="00A23D87" w:rsidP="00A23D87">
            <w:r w:rsidRPr="00A23D87">
              <w:t>40.9</w:t>
            </w:r>
          </w:p>
        </w:tc>
        <w:tc>
          <w:tcPr>
            <w:tcW w:w="0" w:type="auto"/>
            <w:vAlign w:val="center"/>
            <w:hideMark/>
          </w:tcPr>
          <w:p w:rsidR="00A23D87" w:rsidRPr="00A23D87" w:rsidRDefault="00A23D87" w:rsidP="00A23D87">
            <w:r w:rsidRPr="00A23D87">
              <w:t>870</w:t>
            </w:r>
          </w:p>
        </w:tc>
        <w:tc>
          <w:tcPr>
            <w:tcW w:w="0" w:type="auto"/>
            <w:vAlign w:val="center"/>
            <w:hideMark/>
          </w:tcPr>
          <w:p w:rsidR="00A23D87" w:rsidRPr="00A23D87" w:rsidRDefault="00A23D87" w:rsidP="00A23D87">
            <w:r w:rsidRPr="00A23D87">
              <w:t>43.0</w:t>
            </w:r>
          </w:p>
        </w:tc>
      </w:tr>
      <w:tr w:rsidR="00A23D87" w:rsidRPr="00A23D87" w:rsidTr="00A23D87">
        <w:trPr>
          <w:tblCellSpacing w:w="15" w:type="dxa"/>
        </w:trPr>
        <w:tc>
          <w:tcPr>
            <w:tcW w:w="0" w:type="auto"/>
            <w:vAlign w:val="center"/>
            <w:hideMark/>
          </w:tcPr>
          <w:p w:rsidR="00A23D87" w:rsidRPr="00A23D87" w:rsidRDefault="00A23D87" w:rsidP="00A23D87">
            <w:r w:rsidRPr="00A23D87">
              <w:t> Eastern Asia</w:t>
            </w:r>
          </w:p>
        </w:tc>
        <w:tc>
          <w:tcPr>
            <w:tcW w:w="0" w:type="auto"/>
            <w:vAlign w:val="center"/>
            <w:hideMark/>
          </w:tcPr>
          <w:p w:rsidR="00A23D87" w:rsidRPr="00A23D87" w:rsidRDefault="00A23D87" w:rsidP="00A23D87">
            <w:r w:rsidRPr="00A23D87">
              <w:t>533</w:t>
            </w:r>
          </w:p>
        </w:tc>
        <w:tc>
          <w:tcPr>
            <w:tcW w:w="0" w:type="auto"/>
            <w:vAlign w:val="center"/>
            <w:hideMark/>
          </w:tcPr>
          <w:p w:rsidR="00A23D87" w:rsidRPr="00A23D87" w:rsidRDefault="00A23D87" w:rsidP="00A23D87">
            <w:r w:rsidRPr="00A23D87">
              <w:t>39.1</w:t>
            </w:r>
          </w:p>
        </w:tc>
        <w:tc>
          <w:tcPr>
            <w:tcW w:w="0" w:type="auto"/>
            <w:vAlign w:val="center"/>
            <w:hideMark/>
          </w:tcPr>
          <w:p w:rsidR="00A23D87" w:rsidRPr="00A23D87" w:rsidRDefault="00A23D87" w:rsidP="00A23D87">
            <w:r w:rsidRPr="00A23D87">
              <w:t>194</w:t>
            </w:r>
          </w:p>
        </w:tc>
        <w:tc>
          <w:tcPr>
            <w:tcW w:w="0" w:type="auto"/>
            <w:vAlign w:val="center"/>
            <w:hideMark/>
          </w:tcPr>
          <w:p w:rsidR="00A23D87" w:rsidRPr="00A23D87" w:rsidRDefault="00A23D87" w:rsidP="00A23D87">
            <w:r w:rsidRPr="00A23D87">
              <w:t>36.4</w:t>
            </w:r>
          </w:p>
        </w:tc>
      </w:tr>
      <w:tr w:rsidR="00A23D87" w:rsidRPr="00A23D87" w:rsidTr="00A23D87">
        <w:trPr>
          <w:tblCellSpacing w:w="15" w:type="dxa"/>
        </w:trPr>
        <w:tc>
          <w:tcPr>
            <w:tcW w:w="0" w:type="auto"/>
            <w:vAlign w:val="center"/>
            <w:hideMark/>
          </w:tcPr>
          <w:p w:rsidR="00A23D87" w:rsidRPr="00A23D87" w:rsidRDefault="00A23D87" w:rsidP="00A23D87">
            <w:r w:rsidRPr="00A23D87">
              <w:t> Eastern Asia excluding China</w:t>
            </w:r>
          </w:p>
        </w:tc>
        <w:tc>
          <w:tcPr>
            <w:tcW w:w="0" w:type="auto"/>
            <w:vAlign w:val="center"/>
            <w:hideMark/>
          </w:tcPr>
          <w:p w:rsidR="00A23D87" w:rsidRPr="00A23D87" w:rsidRDefault="00A23D87" w:rsidP="00A23D87">
            <w:r w:rsidRPr="00A23D87">
              <w:t>61</w:t>
            </w:r>
          </w:p>
        </w:tc>
        <w:tc>
          <w:tcPr>
            <w:tcW w:w="0" w:type="auto"/>
            <w:vAlign w:val="center"/>
            <w:hideMark/>
          </w:tcPr>
          <w:p w:rsidR="00A23D87" w:rsidRPr="00A23D87" w:rsidRDefault="00A23D87" w:rsidP="00A23D87">
            <w:r w:rsidRPr="00A23D87">
              <w:t>77.1</w:t>
            </w:r>
          </w:p>
        </w:tc>
        <w:tc>
          <w:tcPr>
            <w:tcW w:w="0" w:type="auto"/>
            <w:vAlign w:val="center"/>
            <w:hideMark/>
          </w:tcPr>
          <w:p w:rsidR="00A23D87" w:rsidRPr="00A23D87" w:rsidRDefault="00A23D87" w:rsidP="00A23D87">
            <w:r w:rsidRPr="00A23D87">
              <w:t>16</w:t>
            </w:r>
          </w:p>
        </w:tc>
        <w:tc>
          <w:tcPr>
            <w:tcW w:w="0" w:type="auto"/>
            <w:vAlign w:val="center"/>
            <w:hideMark/>
          </w:tcPr>
          <w:p w:rsidR="00A23D87" w:rsidRPr="00A23D87" w:rsidRDefault="00A23D87" w:rsidP="00A23D87">
            <w:r w:rsidRPr="00A23D87">
              <w:t>25.4</w:t>
            </w:r>
          </w:p>
        </w:tc>
      </w:tr>
      <w:tr w:rsidR="00A23D87" w:rsidRPr="00A23D87" w:rsidTr="00A23D87">
        <w:trPr>
          <w:tblCellSpacing w:w="15" w:type="dxa"/>
        </w:trPr>
        <w:tc>
          <w:tcPr>
            <w:tcW w:w="0" w:type="auto"/>
            <w:vAlign w:val="center"/>
            <w:hideMark/>
          </w:tcPr>
          <w:p w:rsidR="00A23D87" w:rsidRPr="00A23D87" w:rsidRDefault="00A23D87" w:rsidP="00A23D87">
            <w:r w:rsidRPr="00A23D87">
              <w:t> South Central Asia</w:t>
            </w:r>
          </w:p>
        </w:tc>
        <w:tc>
          <w:tcPr>
            <w:tcW w:w="0" w:type="auto"/>
            <w:vAlign w:val="center"/>
            <w:hideMark/>
          </w:tcPr>
          <w:p w:rsidR="00A23D87" w:rsidRPr="00A23D87" w:rsidRDefault="00A23D87" w:rsidP="00A23D87">
            <w:r w:rsidRPr="00A23D87">
              <w:t>452</w:t>
            </w:r>
          </w:p>
        </w:tc>
        <w:tc>
          <w:tcPr>
            <w:tcW w:w="0" w:type="auto"/>
            <w:vAlign w:val="center"/>
            <w:hideMark/>
          </w:tcPr>
          <w:p w:rsidR="00A23D87" w:rsidRPr="00A23D87" w:rsidRDefault="00A23D87" w:rsidP="00A23D87">
            <w:r w:rsidRPr="00A23D87">
              <w:t>30.0</w:t>
            </w:r>
          </w:p>
        </w:tc>
        <w:tc>
          <w:tcPr>
            <w:tcW w:w="0" w:type="auto"/>
            <w:vAlign w:val="center"/>
            <w:hideMark/>
          </w:tcPr>
          <w:p w:rsidR="00A23D87" w:rsidRPr="00A23D87" w:rsidRDefault="00A23D87" w:rsidP="00A23D87">
            <w:r w:rsidRPr="00A23D87">
              <w:t>262</w:t>
            </w:r>
          </w:p>
        </w:tc>
        <w:tc>
          <w:tcPr>
            <w:tcW w:w="0" w:type="auto"/>
            <w:vAlign w:val="center"/>
            <w:hideMark/>
          </w:tcPr>
          <w:p w:rsidR="00A23D87" w:rsidRPr="00A23D87" w:rsidRDefault="00A23D87" w:rsidP="00A23D87">
            <w:r w:rsidRPr="00A23D87">
              <w:t>58.0</w:t>
            </w:r>
          </w:p>
        </w:tc>
      </w:tr>
      <w:tr w:rsidR="00A23D87" w:rsidRPr="00A23D87" w:rsidTr="00A23D87">
        <w:trPr>
          <w:tblCellSpacing w:w="15" w:type="dxa"/>
        </w:trPr>
        <w:tc>
          <w:tcPr>
            <w:tcW w:w="0" w:type="auto"/>
            <w:vAlign w:val="center"/>
            <w:hideMark/>
          </w:tcPr>
          <w:p w:rsidR="00A23D87" w:rsidRPr="00A23D87" w:rsidRDefault="00A23D87" w:rsidP="00A23D87">
            <w:r w:rsidRPr="00A23D87">
              <w:t> South Eastern Asia</w:t>
            </w:r>
          </w:p>
        </w:tc>
        <w:tc>
          <w:tcPr>
            <w:tcW w:w="0" w:type="auto"/>
            <w:vAlign w:val="center"/>
            <w:hideMark/>
          </w:tcPr>
          <w:p w:rsidR="00A23D87" w:rsidRPr="00A23D87" w:rsidRDefault="00A23D87" w:rsidP="00A23D87">
            <w:r w:rsidRPr="00A23D87">
              <w:t>203</w:t>
            </w:r>
          </w:p>
        </w:tc>
        <w:tc>
          <w:tcPr>
            <w:tcW w:w="0" w:type="auto"/>
            <w:vAlign w:val="center"/>
            <w:hideMark/>
          </w:tcPr>
          <w:p w:rsidR="00A23D87" w:rsidRPr="00A23D87" w:rsidRDefault="00A23D87" w:rsidP="00A23D87">
            <w:r w:rsidRPr="00A23D87">
              <w:t>38.3</w:t>
            </w:r>
          </w:p>
        </w:tc>
        <w:tc>
          <w:tcPr>
            <w:tcW w:w="0" w:type="auto"/>
            <w:vAlign w:val="center"/>
            <w:hideMark/>
          </w:tcPr>
          <w:p w:rsidR="00A23D87" w:rsidRPr="00A23D87" w:rsidRDefault="00A23D87" w:rsidP="00A23D87">
            <w:r w:rsidRPr="00A23D87">
              <w:t>57</w:t>
            </w:r>
          </w:p>
        </w:tc>
        <w:tc>
          <w:tcPr>
            <w:tcW w:w="0" w:type="auto"/>
            <w:vAlign w:val="center"/>
            <w:hideMark/>
          </w:tcPr>
          <w:p w:rsidR="00A23D87" w:rsidRPr="00A23D87" w:rsidRDefault="00A23D87" w:rsidP="00A23D87">
            <w:r w:rsidRPr="00A23D87">
              <w:t>28.0</w:t>
            </w:r>
          </w:p>
        </w:tc>
      </w:tr>
      <w:tr w:rsidR="00A23D87" w:rsidRPr="00A23D87" w:rsidTr="00A23D87">
        <w:trPr>
          <w:tblCellSpacing w:w="15" w:type="dxa"/>
        </w:trPr>
        <w:tc>
          <w:tcPr>
            <w:tcW w:w="0" w:type="auto"/>
            <w:vAlign w:val="center"/>
            <w:hideMark/>
          </w:tcPr>
          <w:p w:rsidR="00A23D87" w:rsidRPr="00A23D87" w:rsidRDefault="00A23D87" w:rsidP="00A23D87">
            <w:r w:rsidRPr="00A23D87">
              <w:t>Western Asia</w:t>
            </w:r>
          </w:p>
        </w:tc>
        <w:tc>
          <w:tcPr>
            <w:tcW w:w="0" w:type="auto"/>
            <w:vAlign w:val="center"/>
            <w:hideMark/>
          </w:tcPr>
          <w:p w:rsidR="00A23D87" w:rsidRPr="00A23D87" w:rsidRDefault="00A23D87" w:rsidP="00A23D87">
            <w:r w:rsidRPr="00A23D87">
              <w:t>125</w:t>
            </w:r>
          </w:p>
        </w:tc>
        <w:tc>
          <w:tcPr>
            <w:tcW w:w="0" w:type="auto"/>
            <w:vAlign w:val="center"/>
            <w:hideMark/>
          </w:tcPr>
          <w:p w:rsidR="00A23D87" w:rsidRPr="00A23D87" w:rsidRDefault="00A23D87" w:rsidP="00A23D87">
            <w:r w:rsidRPr="00A23D87">
              <w:t>64.9</w:t>
            </w:r>
          </w:p>
        </w:tc>
        <w:tc>
          <w:tcPr>
            <w:tcW w:w="0" w:type="auto"/>
            <w:vAlign w:val="center"/>
            <w:hideMark/>
          </w:tcPr>
          <w:p w:rsidR="00A23D87" w:rsidRPr="00A23D87" w:rsidRDefault="00A23D87" w:rsidP="00A23D87">
            <w:r w:rsidRPr="00A23D87">
              <w:t>41</w:t>
            </w:r>
          </w:p>
        </w:tc>
        <w:tc>
          <w:tcPr>
            <w:tcW w:w="0" w:type="auto"/>
            <w:vAlign w:val="center"/>
            <w:hideMark/>
          </w:tcPr>
          <w:p w:rsidR="00A23D87" w:rsidRPr="00A23D87" w:rsidRDefault="00A23D87" w:rsidP="00A23D87">
            <w:r w:rsidRPr="00A23D87">
              <w:t>33.1</w:t>
            </w:r>
          </w:p>
        </w:tc>
      </w:tr>
    </w:tbl>
    <w:p w:rsidR="00A23D87" w:rsidRPr="00A23D87" w:rsidRDefault="00A23D87" w:rsidP="00A23D87">
      <w:hyperlink r:id="rId28" w:tgtFrame="object" w:history="1">
        <w:r w:rsidRPr="00A23D87">
          <w:rPr>
            <w:rStyle w:val="Hyperlink"/>
          </w:rPr>
          <w:t>Open in a separate window</w:t>
        </w:r>
      </w:hyperlink>
    </w:p>
    <w:p w:rsidR="00A23D87" w:rsidRPr="00A23D87" w:rsidRDefault="00A23D87" w:rsidP="00A23D87">
      <w:r w:rsidRPr="00A23D87">
        <w:t>Source: UN-HABITAT, Global Urban Observatory, 2003. Estimations based on Total and Urban population: UN Population Division, World Urbanization Prospects: The 2001 Revision</w:t>
      </w:r>
    </w:p>
    <w:p w:rsidR="00A23D87" w:rsidRPr="00A23D87" w:rsidRDefault="00A23D87" w:rsidP="00A23D87">
      <w:r w:rsidRPr="00A23D87">
        <w:t>Rapid urban population growth has outpaced the ability of city authorities to provide for housing and environmental and health infrastructure. This is evident in the proportion of the population that is living in slums as illustrated in Table </w:t>
      </w:r>
      <w:hyperlink r:id="rId29" w:tgtFrame="table" w:history="1">
        <w:r w:rsidRPr="00A23D87">
          <w:rPr>
            <w:rStyle w:val="Hyperlink"/>
          </w:rPr>
          <w:t>5</w:t>
        </w:r>
      </w:hyperlink>
      <w:r w:rsidRPr="00A23D87">
        <w:t xml:space="preserve">. Cities such as Dhaka in Bangladesh or Mumbai in India are, realistically speaking, metropolitan or urban regions, spanning large territorial areas. Others like Metro Manila in the Philippines or Jakarta in Indonesia are really </w:t>
      </w:r>
      <w:proofErr w:type="spellStart"/>
      <w:r w:rsidRPr="00A23D87">
        <w:t>megaurban</w:t>
      </w:r>
      <w:proofErr w:type="spellEnd"/>
      <w:r w:rsidRPr="00A23D87">
        <w:t xml:space="preserve"> regions. The nature of the governments differs considerably. Jakarta’s urban government has the status of a provincial government equal to that of other provinces in Indonesia. The metropolitan government in Manila coordinates among some 17 local authorities, the majority of which are municipalities with a few town councils. </w:t>
      </w:r>
    </w:p>
    <w:p w:rsidR="00A23D87" w:rsidRPr="00A23D87" w:rsidRDefault="00A23D87" w:rsidP="00A23D87">
      <w:pPr>
        <w:rPr>
          <w:b/>
          <w:bCs/>
        </w:rPr>
      </w:pPr>
      <w:r w:rsidRPr="00A23D87">
        <w:rPr>
          <w:b/>
          <w:bCs/>
        </w:rPr>
        <w:t>TABLE 5</w:t>
      </w:r>
    </w:p>
    <w:p w:rsidR="00A23D87" w:rsidRPr="00A23D87" w:rsidRDefault="00A23D87" w:rsidP="00A23D87">
      <w:r w:rsidRPr="00A23D87">
        <w:lastRenderedPageBreak/>
        <w:t>Urban population living in squatter and slum settlements, 1980s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50"/>
        <w:gridCol w:w="779"/>
      </w:tblGrid>
      <w:tr w:rsidR="00A23D87" w:rsidRPr="00A23D87" w:rsidTr="00A23D87">
        <w:trPr>
          <w:tblHeader/>
          <w:tblCellSpacing w:w="15" w:type="dxa"/>
        </w:trPr>
        <w:tc>
          <w:tcPr>
            <w:tcW w:w="0" w:type="auto"/>
            <w:vAlign w:val="center"/>
            <w:hideMark/>
          </w:tcPr>
          <w:p w:rsidR="00A23D87" w:rsidRPr="00A23D87" w:rsidRDefault="00A23D87" w:rsidP="00A23D87">
            <w:pPr>
              <w:rPr>
                <w:b/>
                <w:bCs/>
              </w:rPr>
            </w:pPr>
            <w:r w:rsidRPr="00A23D87">
              <w:rPr>
                <w:b/>
                <w:bCs/>
              </w:rPr>
              <w:t>Country</w:t>
            </w:r>
          </w:p>
        </w:tc>
        <w:tc>
          <w:tcPr>
            <w:tcW w:w="0" w:type="auto"/>
            <w:vAlign w:val="center"/>
            <w:hideMark/>
          </w:tcPr>
          <w:p w:rsidR="00A23D87" w:rsidRPr="00A23D87" w:rsidRDefault="00A23D87" w:rsidP="00A23D87">
            <w:pPr>
              <w:rPr>
                <w:b/>
                <w:bCs/>
              </w:rPr>
            </w:pPr>
            <w:r w:rsidRPr="00A23D87">
              <w:rPr>
                <w:b/>
                <w:bCs/>
              </w:rPr>
              <w:t>Percent</w:t>
            </w:r>
          </w:p>
        </w:tc>
      </w:tr>
      <w:tr w:rsidR="00A23D87" w:rsidRPr="00A23D87" w:rsidTr="00A23D87">
        <w:trPr>
          <w:tblCellSpacing w:w="15" w:type="dxa"/>
        </w:trPr>
        <w:tc>
          <w:tcPr>
            <w:tcW w:w="0" w:type="auto"/>
            <w:vAlign w:val="center"/>
            <w:hideMark/>
          </w:tcPr>
          <w:p w:rsidR="00A23D87" w:rsidRPr="00A23D87" w:rsidRDefault="00A23D87" w:rsidP="00A23D87">
            <w:r w:rsidRPr="00A23D87">
              <w:t>Indonesia</w:t>
            </w:r>
          </w:p>
        </w:tc>
        <w:tc>
          <w:tcPr>
            <w:tcW w:w="0" w:type="auto"/>
            <w:vAlign w:val="center"/>
            <w:hideMark/>
          </w:tcPr>
          <w:p w:rsidR="00A23D87" w:rsidRPr="00A23D87" w:rsidRDefault="00A23D87" w:rsidP="00A23D87">
            <w:r w:rsidRPr="00A23D87">
              <w:t>54</w:t>
            </w:r>
          </w:p>
        </w:tc>
      </w:tr>
      <w:tr w:rsidR="00A23D87" w:rsidRPr="00A23D87" w:rsidTr="00A23D87">
        <w:trPr>
          <w:tblCellSpacing w:w="15" w:type="dxa"/>
        </w:trPr>
        <w:tc>
          <w:tcPr>
            <w:tcW w:w="0" w:type="auto"/>
            <w:vAlign w:val="center"/>
            <w:hideMark/>
          </w:tcPr>
          <w:p w:rsidR="00A23D87" w:rsidRPr="00A23D87" w:rsidRDefault="00A23D87" w:rsidP="00A23D87">
            <w:r w:rsidRPr="00A23D87">
              <w:t>Bangladesh</w:t>
            </w:r>
          </w:p>
        </w:tc>
        <w:tc>
          <w:tcPr>
            <w:tcW w:w="0" w:type="auto"/>
            <w:vAlign w:val="center"/>
            <w:hideMark/>
          </w:tcPr>
          <w:p w:rsidR="00A23D87" w:rsidRPr="00A23D87" w:rsidRDefault="00A23D87" w:rsidP="00A23D87">
            <w:r w:rsidRPr="00A23D87">
              <w:t>47</w:t>
            </w:r>
          </w:p>
        </w:tc>
      </w:tr>
      <w:tr w:rsidR="00A23D87" w:rsidRPr="00A23D87" w:rsidTr="00A23D87">
        <w:trPr>
          <w:tblCellSpacing w:w="15" w:type="dxa"/>
        </w:trPr>
        <w:tc>
          <w:tcPr>
            <w:tcW w:w="0" w:type="auto"/>
            <w:vAlign w:val="center"/>
            <w:hideMark/>
          </w:tcPr>
          <w:p w:rsidR="00A23D87" w:rsidRPr="00A23D87" w:rsidRDefault="00A23D87" w:rsidP="00A23D87">
            <w:r w:rsidRPr="00A23D87">
              <w:t>India</w:t>
            </w:r>
          </w:p>
        </w:tc>
        <w:tc>
          <w:tcPr>
            <w:tcW w:w="0" w:type="auto"/>
            <w:vAlign w:val="center"/>
            <w:hideMark/>
          </w:tcPr>
          <w:p w:rsidR="00A23D87" w:rsidRPr="00A23D87" w:rsidRDefault="00A23D87" w:rsidP="00A23D87">
            <w:r w:rsidRPr="00A23D87">
              <w:t>36</w:t>
            </w:r>
          </w:p>
        </w:tc>
      </w:tr>
      <w:tr w:rsidR="00A23D87" w:rsidRPr="00A23D87" w:rsidTr="00A23D87">
        <w:trPr>
          <w:tblCellSpacing w:w="15" w:type="dxa"/>
        </w:trPr>
        <w:tc>
          <w:tcPr>
            <w:tcW w:w="0" w:type="auto"/>
            <w:vAlign w:val="center"/>
            <w:hideMark/>
          </w:tcPr>
          <w:p w:rsidR="00A23D87" w:rsidRPr="00A23D87" w:rsidRDefault="00A23D87" w:rsidP="00A23D87">
            <w:r w:rsidRPr="00A23D87">
              <w:t>Philippines</w:t>
            </w:r>
          </w:p>
        </w:tc>
        <w:tc>
          <w:tcPr>
            <w:tcW w:w="0" w:type="auto"/>
            <w:vAlign w:val="center"/>
            <w:hideMark/>
          </w:tcPr>
          <w:p w:rsidR="00A23D87" w:rsidRPr="00A23D87" w:rsidRDefault="00A23D87" w:rsidP="00A23D87">
            <w:r w:rsidRPr="00A23D87">
              <w:t>28</w:t>
            </w:r>
          </w:p>
        </w:tc>
      </w:tr>
      <w:tr w:rsidR="00A23D87" w:rsidRPr="00A23D87" w:rsidTr="00A23D87">
        <w:trPr>
          <w:tblCellSpacing w:w="15" w:type="dxa"/>
        </w:trPr>
        <w:tc>
          <w:tcPr>
            <w:tcW w:w="0" w:type="auto"/>
            <w:vAlign w:val="center"/>
            <w:hideMark/>
          </w:tcPr>
          <w:p w:rsidR="00A23D87" w:rsidRPr="00A23D87" w:rsidRDefault="00A23D87" w:rsidP="00A23D87">
            <w:r w:rsidRPr="00A23D87">
              <w:t>Sri Lanka</w:t>
            </w:r>
          </w:p>
        </w:tc>
        <w:tc>
          <w:tcPr>
            <w:tcW w:w="0" w:type="auto"/>
            <w:vAlign w:val="center"/>
            <w:hideMark/>
          </w:tcPr>
          <w:p w:rsidR="00A23D87" w:rsidRPr="00A23D87" w:rsidRDefault="00A23D87" w:rsidP="00A23D87">
            <w:r w:rsidRPr="00A23D87">
              <w:t>21</w:t>
            </w:r>
          </w:p>
        </w:tc>
      </w:tr>
      <w:tr w:rsidR="00A23D87" w:rsidRPr="00A23D87" w:rsidTr="00A23D87">
        <w:trPr>
          <w:tblCellSpacing w:w="15" w:type="dxa"/>
        </w:trPr>
        <w:tc>
          <w:tcPr>
            <w:tcW w:w="0" w:type="auto"/>
            <w:vAlign w:val="center"/>
            <w:hideMark/>
          </w:tcPr>
          <w:p w:rsidR="00A23D87" w:rsidRPr="00A23D87" w:rsidRDefault="00A23D87" w:rsidP="00A23D87">
            <w:r w:rsidRPr="00A23D87">
              <w:t>Thailand</w:t>
            </w:r>
          </w:p>
        </w:tc>
        <w:tc>
          <w:tcPr>
            <w:tcW w:w="0" w:type="auto"/>
            <w:vAlign w:val="center"/>
            <w:hideMark/>
          </w:tcPr>
          <w:p w:rsidR="00A23D87" w:rsidRPr="00A23D87" w:rsidRDefault="00A23D87" w:rsidP="00A23D87">
            <w:r w:rsidRPr="00A23D87">
              <w:t>16</w:t>
            </w:r>
          </w:p>
        </w:tc>
      </w:tr>
      <w:tr w:rsidR="00A23D87" w:rsidRPr="00A23D87" w:rsidTr="00A23D87">
        <w:trPr>
          <w:tblCellSpacing w:w="15" w:type="dxa"/>
        </w:trPr>
        <w:tc>
          <w:tcPr>
            <w:tcW w:w="0" w:type="auto"/>
            <w:vAlign w:val="center"/>
            <w:hideMark/>
          </w:tcPr>
          <w:p w:rsidR="00A23D87" w:rsidRPr="00A23D87" w:rsidRDefault="00A23D87" w:rsidP="00A23D87">
            <w:r w:rsidRPr="00A23D87">
              <w:t>Malaysia</w:t>
            </w:r>
          </w:p>
        </w:tc>
        <w:tc>
          <w:tcPr>
            <w:tcW w:w="0" w:type="auto"/>
            <w:vAlign w:val="center"/>
            <w:hideMark/>
          </w:tcPr>
          <w:p w:rsidR="00A23D87" w:rsidRPr="00A23D87" w:rsidRDefault="00A23D87" w:rsidP="00A23D87">
            <w:r w:rsidRPr="00A23D87">
              <w:t>15</w:t>
            </w:r>
          </w:p>
        </w:tc>
      </w:tr>
      <w:tr w:rsidR="00A23D87" w:rsidRPr="00A23D87" w:rsidTr="00A23D87">
        <w:trPr>
          <w:tblCellSpacing w:w="15" w:type="dxa"/>
        </w:trPr>
        <w:tc>
          <w:tcPr>
            <w:tcW w:w="0" w:type="auto"/>
            <w:vAlign w:val="center"/>
            <w:hideMark/>
          </w:tcPr>
          <w:p w:rsidR="00A23D87" w:rsidRPr="00A23D87" w:rsidRDefault="00A23D87" w:rsidP="00A23D87">
            <w:r w:rsidRPr="00A23D87">
              <w:t>Republic of Korea</w:t>
            </w:r>
          </w:p>
        </w:tc>
        <w:tc>
          <w:tcPr>
            <w:tcW w:w="0" w:type="auto"/>
            <w:vAlign w:val="center"/>
            <w:hideMark/>
          </w:tcPr>
          <w:p w:rsidR="00A23D87" w:rsidRPr="00A23D87" w:rsidRDefault="00A23D87" w:rsidP="00A23D87">
            <w:r w:rsidRPr="00A23D87">
              <w:t>1</w:t>
            </w:r>
          </w:p>
        </w:tc>
      </w:tr>
    </w:tbl>
    <w:p w:rsidR="00A23D87" w:rsidRPr="00A23D87" w:rsidRDefault="00A23D87" w:rsidP="00A23D87">
      <w:r w:rsidRPr="00A23D87">
        <w:t>Source: ESCAP (1993) p. 2–47</w:t>
      </w:r>
    </w:p>
    <w:p w:rsidR="00A23D87" w:rsidRPr="00A23D87" w:rsidRDefault="00A23D87" w:rsidP="00A23D87">
      <w:r w:rsidRPr="00A23D87">
        <w:t xml:space="preserve">Squatter and slum settlements have formed mainly because of the inability of city governments to plan and provide affordable housing for the low-income segments of the urban population. Hence, squatter and slum housing is the housing solution for this low-income urban population. In the </w:t>
      </w:r>
      <w:proofErr w:type="spellStart"/>
      <w:r w:rsidRPr="00A23D87">
        <w:t>megaurban</w:t>
      </w:r>
      <w:proofErr w:type="spellEnd"/>
      <w:r w:rsidRPr="00A23D87">
        <w:t xml:space="preserve"> regions or metropolitan areas, part of the problem would lie in the coordination among different authorities that are in charge of economic development, urban planning, and land allocation. Such coordination issues also exist between the city and national governments.</w:t>
      </w:r>
    </w:p>
    <w:p w:rsidR="00A23D87" w:rsidRPr="00A23D87" w:rsidRDefault="00A23D87" w:rsidP="00A23D87">
      <w:r w:rsidRPr="00A23D87">
        <w:t>The economically more dynamic regions such as Asia have experienced strong growth because the state sector drives development agendas. National and city governments have generally adopted the position that economic development will take care of basic needs such as housing and environmental and health infrastructure. In cities of higher income countries such as Malaysia, private sector developers are more interested in building homes for the middle-income market. The proliferation of slum and squatter settlements shows, however, that planned economic growth has to be aligned with the planned development of health services, environmental infrastructure, and housing.</w:t>
      </w:r>
    </w:p>
    <w:p w:rsidR="00A23D87" w:rsidRPr="00A23D87" w:rsidRDefault="00A23D87" w:rsidP="00A23D87">
      <w:r w:rsidRPr="00A23D87">
        <w:t xml:space="preserve">For the scale and speed of urbanization that has been taking place in developing countries of Asia, most municipal governments are unequipped physically, fiscally, politically, and administratively to tackle the problems of providing the basic infrastructure services to their people. In a situation of scarce resource allocation, the urban poor are frequently badly placed to compete for essential services. </w:t>
      </w:r>
      <w:proofErr w:type="gramStart"/>
      <w:r w:rsidRPr="00A23D87">
        <w:t>Biases in investment standards, pricing policy, and administrative procedures, more often than not, skew services in favor of the rich, denying the poor shelter, safe water, acceptable sanitation, minimal nutrition, and basic education.</w:t>
      </w:r>
      <w:proofErr w:type="gramEnd"/>
      <w:r w:rsidRPr="00A23D87">
        <w:rPr>
          <w:vertAlign w:val="superscript"/>
        </w:rPr>
        <w:fldChar w:fldCharType="begin"/>
      </w:r>
      <w:r w:rsidRPr="00A23D87">
        <w:rPr>
          <w:vertAlign w:val="superscript"/>
        </w:rPr>
        <w:instrText xml:space="preserve"> HYPERLINK "https://www.ncbi.nlm.nih.gov/pmc/articles/PMC1891640/" \l "CR6" </w:instrText>
      </w:r>
      <w:r w:rsidRPr="00A23D87">
        <w:rPr>
          <w:vertAlign w:val="superscript"/>
        </w:rPr>
        <w:fldChar w:fldCharType="separate"/>
      </w:r>
      <w:r w:rsidRPr="00A23D87">
        <w:rPr>
          <w:rStyle w:val="Hyperlink"/>
          <w:vertAlign w:val="superscript"/>
        </w:rPr>
        <w:t>6</w:t>
      </w:r>
      <w:r w:rsidRPr="00A23D87">
        <w:fldChar w:fldCharType="end"/>
      </w:r>
    </w:p>
    <w:p w:rsidR="00A23D87" w:rsidRPr="00A23D87" w:rsidRDefault="00A23D87" w:rsidP="00A23D87">
      <w:r w:rsidRPr="00A23D87">
        <w:lastRenderedPageBreak/>
        <w:t>In Ho Chi Minh City in Vietnam, neither the government nor the private developers are able to provide the housing needed for 50,000 migrants per year. An additional 20,000 young urban households are formed annually who enter the real estate market.</w:t>
      </w:r>
      <w:hyperlink r:id="rId30" w:anchor="CR7" w:history="1">
        <w:r w:rsidRPr="00A23D87">
          <w:rPr>
            <w:rStyle w:val="Hyperlink"/>
            <w:vertAlign w:val="superscript"/>
          </w:rPr>
          <w:t>7</w:t>
        </w:r>
      </w:hyperlink>
      <w:r w:rsidRPr="00A23D87">
        <w:t xml:space="preserve"> The resulting growth in squatter and slum settlements now comprises 15% of housing in the city. This kind of housing is associated with lack of sanitation and also air pollution.</w:t>
      </w:r>
      <w:hyperlink r:id="rId31" w:anchor="CR8" w:history="1">
        <w:r w:rsidRPr="00A23D87">
          <w:rPr>
            <w:rStyle w:val="Hyperlink"/>
            <w:vertAlign w:val="superscript"/>
          </w:rPr>
          <w:t>8</w:t>
        </w:r>
      </w:hyperlink>
      <w:r w:rsidRPr="00A23D87">
        <w:t xml:space="preserve"> In other lower-income cities like Dhaka, only one quarter of the population in the city is connected to the piped sewerage system with two in three among households served with potable water supply.</w:t>
      </w:r>
      <w:hyperlink r:id="rId32" w:anchor="CR9" w:history="1">
        <w:r w:rsidRPr="00A23D87">
          <w:rPr>
            <w:rStyle w:val="Hyperlink"/>
            <w:vertAlign w:val="superscript"/>
          </w:rPr>
          <w:t>9</w:t>
        </w:r>
      </w:hyperlink>
      <w:r w:rsidRPr="00A23D87">
        <w:t xml:space="preserve"> The outcome has been one of the highest rates of death from infectious diseases among Asian cities. Low-income cities in South Asia and Africa are more vulnerable to environmental disasters such as floods and, hence, disease because of their fragile social infrastructure. The City Development Index computed by the United Nations Centre for Human Settlements, Global Urban Indicators and Habitat II, showed cities in poorer countries—Phnom Penh in Cambodia, Vientiane in Laos, and Hanoi in Vietnam—lagging behind Seoul, Hong Kong, and Singapore with regard to water connections, sewerage, life expectancy, child mortality, wastewater treatment, and solid waste management.</w:t>
      </w:r>
    </w:p>
    <w:p w:rsidR="00A23D87" w:rsidRPr="00A23D87" w:rsidRDefault="00A23D87" w:rsidP="00A23D87">
      <w:r w:rsidRPr="00A23D87">
        <w:t>In many cities, such as in Metro Manila in the Philippines and in Kuala Lumpur in Malaysia, rapid development of new real estate comprising condominiums and shopping malls has led to “...gridlocked traffic conditions, severe environmental conditions (air, noise, and river pollution), unstable squatter tenements sandwiched between prime commercial complexes and high class condominiums, loss of heritage edifices, and neglect of human development.”</w:t>
      </w:r>
      <w:hyperlink r:id="rId33" w:anchor="CR10" w:history="1">
        <w:r w:rsidRPr="00A23D87">
          <w:rPr>
            <w:rStyle w:val="Hyperlink"/>
            <w:vertAlign w:val="superscript"/>
          </w:rPr>
          <w:t>10</w:t>
        </w:r>
      </w:hyperlink>
      <w:r w:rsidRPr="00A23D87">
        <w:t xml:space="preserve"> With the intensely competitive demand for land in cities, the urban poor will increasingly be marginalized. Many are now settling at the fringes of the most rapidly growing cities. Rapid growth of the larger cities and </w:t>
      </w:r>
      <w:proofErr w:type="spellStart"/>
      <w:r w:rsidRPr="00A23D87">
        <w:t>megaurban</w:t>
      </w:r>
      <w:proofErr w:type="spellEnd"/>
      <w:r w:rsidRPr="00A23D87">
        <w:t xml:space="preserve"> regions in the developing countries is reflected in their being surrounded by dense and generally impoverished shantytowns and numerous other forms of so-called informal and/or irregular housing. These are characterized by inadequate infrastructure, service provision, and security of shelter and land tenure.</w:t>
      </w:r>
      <w:hyperlink r:id="rId34" w:anchor="CR11" w:history="1">
        <w:r w:rsidRPr="00A23D87">
          <w:rPr>
            <w:rStyle w:val="Hyperlink"/>
            <w:vertAlign w:val="superscript"/>
          </w:rPr>
          <w:t>11</w:t>
        </w:r>
      </w:hyperlink>
      <w:r w:rsidRPr="00A23D87">
        <w:t xml:space="preserve"> In these “</w:t>
      </w:r>
      <w:proofErr w:type="spellStart"/>
      <w:r w:rsidRPr="00A23D87">
        <w:t>periurban</w:t>
      </w:r>
      <w:proofErr w:type="spellEnd"/>
      <w:r w:rsidRPr="00A23D87">
        <w:t>” zones or areas of rural–urban interface, there are usually far from clear administrative responsibilities between the urban and rural governments or provincial and national levels of governance.</w:t>
      </w:r>
      <w:hyperlink r:id="rId35" w:anchor="CR12" w:history="1">
        <w:r w:rsidRPr="00A23D87">
          <w:rPr>
            <w:rStyle w:val="Hyperlink"/>
            <w:vertAlign w:val="superscript"/>
          </w:rPr>
          <w:t>12</w:t>
        </w:r>
      </w:hyperlink>
    </w:p>
    <w:p w:rsidR="00A23D87" w:rsidRPr="00A23D87" w:rsidRDefault="00A23D87" w:rsidP="00A23D87">
      <w:hyperlink r:id="rId36" w:tooltip="Go to other sections in this page" w:history="1">
        <w:r w:rsidRPr="00A23D87">
          <w:rPr>
            <w:rStyle w:val="Hyperlink"/>
          </w:rPr>
          <w:t>Go to:</w:t>
        </w:r>
      </w:hyperlink>
    </w:p>
    <w:p w:rsidR="00A23D87" w:rsidRPr="00A23D87" w:rsidRDefault="00A23D87" w:rsidP="00A23D87">
      <w:pPr>
        <w:rPr>
          <w:b/>
          <w:bCs/>
        </w:rPr>
      </w:pPr>
      <w:r w:rsidRPr="00A23D87">
        <w:rPr>
          <w:b/>
          <w:bCs/>
        </w:rPr>
        <w:t>LINKING ECONOMIC DEVELOPMENT AND URBAN GROWTH TO HOUSING: CASE STUDY IN SINGAPORE</w:t>
      </w:r>
    </w:p>
    <w:p w:rsidR="00A23D87" w:rsidRPr="00A23D87" w:rsidRDefault="00A23D87" w:rsidP="00A23D87">
      <w:r w:rsidRPr="00A23D87">
        <w:t xml:space="preserve">Singapore’s highly successful public housing program, which provides homes for 85% of the population, has been an important aspect of its planned urbanization strategy for economic development. This development agenda necessitated the redevelopment of the central area where in the 1960s some two thirds of the </w:t>
      </w:r>
      <w:proofErr w:type="gramStart"/>
      <w:r w:rsidRPr="00A23D87">
        <w:t>population were</w:t>
      </w:r>
      <w:proofErr w:type="gramEnd"/>
      <w:r w:rsidRPr="00A23D87">
        <w:t xml:space="preserve"> concentrated. The housing conditions then were the same as those in today’s poor urban neighborhoods.</w:t>
      </w:r>
      <w:hyperlink r:id="rId37" w:anchor="CR13" w:history="1">
        <w:r w:rsidRPr="00A23D87">
          <w:rPr>
            <w:rStyle w:val="Hyperlink"/>
            <w:vertAlign w:val="superscript"/>
          </w:rPr>
          <w:t>13</w:t>
        </w:r>
      </w:hyperlink>
    </w:p>
    <w:p w:rsidR="00A23D87" w:rsidRPr="00A23D87" w:rsidRDefault="00A23D87" w:rsidP="00A23D87">
      <w:r w:rsidRPr="00A23D87">
        <w:t xml:space="preserve">In Singapore, 130,000 people live in squalid and insanitary </w:t>
      </w:r>
      <w:proofErr w:type="spellStart"/>
      <w:r w:rsidRPr="00A23D87">
        <w:rPr>
          <w:i/>
          <w:iCs/>
        </w:rPr>
        <w:t>attap</w:t>
      </w:r>
      <w:proofErr w:type="spellEnd"/>
      <w:r w:rsidRPr="00A23D87">
        <w:rPr>
          <w:i/>
          <w:iCs/>
        </w:rPr>
        <w:t xml:space="preserve"> </w:t>
      </w:r>
      <w:proofErr w:type="spellStart"/>
      <w:r w:rsidRPr="00A23D87">
        <w:rPr>
          <w:i/>
          <w:iCs/>
        </w:rPr>
        <w:t>kampungs</w:t>
      </w:r>
      <w:proofErr w:type="spellEnd"/>
      <w:r w:rsidRPr="00A23D87">
        <w:t xml:space="preserve"> throughout the municipal areas. They have standpipe water and the most primitive sanitation. “It is a physical impossibility to eject these people; they have nowhere else to go. Although the municipality does excellent work in trying to keep these areas properly drained and free from disease, nevertheless they constitute a </w:t>
      </w:r>
      <w:r w:rsidRPr="00A23D87">
        <w:lastRenderedPageBreak/>
        <w:t>menace to the general health of the whole city.”</w:t>
      </w:r>
      <w:hyperlink r:id="rId38" w:anchor="CR14" w:history="1">
        <w:r w:rsidRPr="00A23D87">
          <w:rPr>
            <w:rStyle w:val="Hyperlink"/>
            <w:vertAlign w:val="superscript"/>
          </w:rPr>
          <w:t>14</w:t>
        </w:r>
      </w:hyperlink>
      <w:r w:rsidRPr="00A23D87">
        <w:t xml:space="preserve"> Singapore squatters demand fantastic prices for possession; a parcel of land free from squatters is three times as expensive as land that is squatter-occupied.</w:t>
      </w:r>
    </w:p>
    <w:p w:rsidR="00A23D87" w:rsidRPr="00A23D87" w:rsidRDefault="00A23D87" w:rsidP="00A23D87">
      <w:r w:rsidRPr="00A23D87">
        <w:t>Health problems experienced by slum residents included worms in children. Water-borne illnesses, cholera and dysentery, were a perennial problem, largely because of the lack of adequate potable water supply. Other common illnesses because of congested living conditions and low standards of hygiene included tuberculosis.</w:t>
      </w:r>
    </w:p>
    <w:p w:rsidR="00A23D87" w:rsidRPr="00A23D87" w:rsidRDefault="00A23D87" w:rsidP="00A23D87">
      <w:r w:rsidRPr="00A23D87">
        <w:t xml:space="preserve">Public housing estates were first developed in and around the fringes of the central area. These not only reduced the dislocation of the households being resettled but also obviated the necessity for the public housing authority to provide an exhaustive list of estate facilities to meet </w:t>
      </w:r>
      <w:proofErr w:type="spellStart"/>
      <w:r w:rsidRPr="00A23D87">
        <w:t>everyday</w:t>
      </w:r>
      <w:proofErr w:type="spellEnd"/>
      <w:r w:rsidRPr="00A23D87">
        <w:t xml:space="preserve"> needs of the people being resettled. Many resettlement programs have failed because of the virtual banishment of the low-income households to distant locations often outside of the city altogether.</w:t>
      </w:r>
    </w:p>
    <w:p w:rsidR="00A23D87" w:rsidRPr="00A23D87" w:rsidRDefault="00A23D87" w:rsidP="00A23D87">
      <w:r w:rsidRPr="00A23D87">
        <w:t>Only incrementally did the public housing authority develop housing estates and new towns further away from the city center. The first new town developed was located some 6 to 8 km away. To compensate for the longer distance between their new homes and the city center, this new town was planned with a full range of neighborhood facilities and services, including public bus transport. Furthermore, the new town was located along highways connecting the town center to the city, thus facilitating relatively convenient and fast transportation to workplaces.</w:t>
      </w:r>
    </w:p>
    <w:p w:rsidR="00A23D87" w:rsidRPr="00A23D87" w:rsidRDefault="00A23D87" w:rsidP="00A23D87">
      <w:r w:rsidRPr="00A23D87">
        <w:t>In the late 1960s a financing scheme was introduced to enable households to buy public housing units through the use of a part of the money in their retirement savings fund—Central Provident Fund. The copayment scheme between state and homebuyers ensured financing for the housing program. In the beginning, the homes built were small. The general expectation was that families would move to bigger apartment units once their incomes improved either from wage increases or when the children grew up and were able to complement their parents’ incomes. So as illustrated in Table </w:t>
      </w:r>
      <w:hyperlink r:id="rId39" w:tgtFrame="table" w:history="1">
        <w:r w:rsidRPr="00A23D87">
          <w:rPr>
            <w:rStyle w:val="Hyperlink"/>
          </w:rPr>
          <w:t>6</w:t>
        </w:r>
      </w:hyperlink>
      <w:r w:rsidRPr="00A23D87">
        <w:t xml:space="preserve">, the proportion of residents living in smaller one- and two-room apartments declined to 5% in 2000 whereas that living in the larger four- and five-room apartments has increased to more than half among public housing residents. </w:t>
      </w:r>
    </w:p>
    <w:p w:rsidR="00A23D87" w:rsidRPr="00A23D87" w:rsidRDefault="00A23D87" w:rsidP="00A23D87">
      <w:pPr>
        <w:rPr>
          <w:b/>
          <w:bCs/>
        </w:rPr>
      </w:pPr>
      <w:r w:rsidRPr="00A23D87">
        <w:rPr>
          <w:b/>
          <w:bCs/>
        </w:rPr>
        <w:t>TABLE 6</w:t>
      </w:r>
    </w:p>
    <w:p w:rsidR="00A23D87" w:rsidRPr="00A23D87" w:rsidRDefault="00A23D87" w:rsidP="00A23D87">
      <w:r w:rsidRPr="00A23D87">
        <w:t>Housing trends among public housing residents in Singapore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324"/>
        <w:gridCol w:w="773"/>
        <w:gridCol w:w="773"/>
        <w:gridCol w:w="788"/>
      </w:tblGrid>
      <w:tr w:rsidR="00A23D87" w:rsidRPr="00A23D87" w:rsidTr="00A23D87">
        <w:trPr>
          <w:tblHeader/>
          <w:tblCellSpacing w:w="15" w:type="dxa"/>
        </w:trPr>
        <w:tc>
          <w:tcPr>
            <w:tcW w:w="0" w:type="auto"/>
            <w:vMerge w:val="restart"/>
            <w:vAlign w:val="center"/>
            <w:hideMark/>
          </w:tcPr>
          <w:p w:rsidR="00A23D87" w:rsidRPr="00A23D87" w:rsidRDefault="00A23D87" w:rsidP="00A23D87">
            <w:pPr>
              <w:rPr>
                <w:b/>
                <w:bCs/>
              </w:rPr>
            </w:pPr>
            <w:r w:rsidRPr="00A23D87">
              <w:rPr>
                <w:b/>
                <w:bCs/>
              </w:rPr>
              <w:t>Apartment types</w:t>
            </w:r>
          </w:p>
        </w:tc>
        <w:tc>
          <w:tcPr>
            <w:tcW w:w="0" w:type="auto"/>
            <w:gridSpan w:val="3"/>
            <w:vAlign w:val="center"/>
            <w:hideMark/>
          </w:tcPr>
          <w:p w:rsidR="00A23D87" w:rsidRPr="00A23D87" w:rsidRDefault="00A23D87" w:rsidP="00A23D87">
            <w:pPr>
              <w:rPr>
                <w:b/>
                <w:bCs/>
              </w:rPr>
            </w:pPr>
            <w:r w:rsidRPr="00A23D87">
              <w:rPr>
                <w:b/>
                <w:bCs/>
              </w:rPr>
              <w:t>Year</w:t>
            </w:r>
          </w:p>
        </w:tc>
      </w:tr>
      <w:tr w:rsidR="00A23D87" w:rsidRPr="00A23D87" w:rsidTr="00A23D87">
        <w:trPr>
          <w:tblHeader/>
          <w:tblCellSpacing w:w="15" w:type="dxa"/>
        </w:trPr>
        <w:tc>
          <w:tcPr>
            <w:tcW w:w="0" w:type="auto"/>
            <w:vMerge/>
            <w:vAlign w:val="center"/>
            <w:hideMark/>
          </w:tcPr>
          <w:p w:rsidR="00A23D87" w:rsidRPr="00A23D87" w:rsidRDefault="00A23D87" w:rsidP="00A23D87">
            <w:pPr>
              <w:rPr>
                <w:b/>
                <w:bCs/>
              </w:rPr>
            </w:pPr>
          </w:p>
        </w:tc>
        <w:tc>
          <w:tcPr>
            <w:tcW w:w="0" w:type="auto"/>
            <w:vAlign w:val="center"/>
            <w:hideMark/>
          </w:tcPr>
          <w:p w:rsidR="00A23D87" w:rsidRPr="00A23D87" w:rsidRDefault="00A23D87" w:rsidP="00A23D87">
            <w:pPr>
              <w:rPr>
                <w:b/>
                <w:bCs/>
              </w:rPr>
            </w:pPr>
            <w:r w:rsidRPr="00A23D87">
              <w:rPr>
                <w:b/>
                <w:bCs/>
              </w:rPr>
              <w:t>1985, %</w:t>
            </w:r>
          </w:p>
        </w:tc>
        <w:tc>
          <w:tcPr>
            <w:tcW w:w="0" w:type="auto"/>
            <w:vAlign w:val="center"/>
            <w:hideMark/>
          </w:tcPr>
          <w:p w:rsidR="00A23D87" w:rsidRPr="00A23D87" w:rsidRDefault="00A23D87" w:rsidP="00A23D87">
            <w:pPr>
              <w:rPr>
                <w:b/>
                <w:bCs/>
              </w:rPr>
            </w:pPr>
            <w:r w:rsidRPr="00A23D87">
              <w:rPr>
                <w:b/>
                <w:bCs/>
              </w:rPr>
              <w:t>1990, %</w:t>
            </w:r>
          </w:p>
        </w:tc>
        <w:tc>
          <w:tcPr>
            <w:tcW w:w="0" w:type="auto"/>
            <w:vAlign w:val="center"/>
            <w:hideMark/>
          </w:tcPr>
          <w:p w:rsidR="00A23D87" w:rsidRPr="00A23D87" w:rsidRDefault="00A23D87" w:rsidP="00A23D87">
            <w:pPr>
              <w:rPr>
                <w:b/>
                <w:bCs/>
              </w:rPr>
            </w:pPr>
            <w:r w:rsidRPr="00A23D87">
              <w:rPr>
                <w:b/>
                <w:bCs/>
              </w:rPr>
              <w:t>2000, %</w:t>
            </w:r>
          </w:p>
        </w:tc>
      </w:tr>
      <w:tr w:rsidR="00A23D87" w:rsidRPr="00A23D87" w:rsidTr="00A23D87">
        <w:trPr>
          <w:tblCellSpacing w:w="15" w:type="dxa"/>
        </w:trPr>
        <w:tc>
          <w:tcPr>
            <w:tcW w:w="0" w:type="auto"/>
            <w:vAlign w:val="center"/>
            <w:hideMark/>
          </w:tcPr>
          <w:p w:rsidR="00A23D87" w:rsidRPr="00A23D87" w:rsidRDefault="00A23D87" w:rsidP="00A23D87">
            <w:r w:rsidRPr="00A23D87">
              <w:t>1- and 2-room</w:t>
            </w:r>
          </w:p>
        </w:tc>
        <w:tc>
          <w:tcPr>
            <w:tcW w:w="0" w:type="auto"/>
            <w:vAlign w:val="center"/>
            <w:hideMark/>
          </w:tcPr>
          <w:p w:rsidR="00A23D87" w:rsidRPr="00A23D87" w:rsidRDefault="00A23D87" w:rsidP="00A23D87">
            <w:r w:rsidRPr="00A23D87">
              <w:t>19.4</w:t>
            </w:r>
          </w:p>
        </w:tc>
        <w:tc>
          <w:tcPr>
            <w:tcW w:w="0" w:type="auto"/>
            <w:vAlign w:val="center"/>
            <w:hideMark/>
          </w:tcPr>
          <w:p w:rsidR="00A23D87" w:rsidRPr="00A23D87" w:rsidRDefault="00A23D87" w:rsidP="00A23D87">
            <w:r w:rsidRPr="00A23D87">
              <w:t>8.2</w:t>
            </w:r>
          </w:p>
        </w:tc>
        <w:tc>
          <w:tcPr>
            <w:tcW w:w="0" w:type="auto"/>
            <w:vAlign w:val="center"/>
            <w:hideMark/>
          </w:tcPr>
          <w:p w:rsidR="00A23D87" w:rsidRPr="00A23D87" w:rsidRDefault="00A23D87" w:rsidP="00A23D87">
            <w:r w:rsidRPr="00A23D87">
              <w:t>5.0</w:t>
            </w:r>
          </w:p>
        </w:tc>
      </w:tr>
      <w:tr w:rsidR="00A23D87" w:rsidRPr="00A23D87" w:rsidTr="00A23D87">
        <w:trPr>
          <w:tblCellSpacing w:w="15" w:type="dxa"/>
        </w:trPr>
        <w:tc>
          <w:tcPr>
            <w:tcW w:w="0" w:type="auto"/>
            <w:vAlign w:val="center"/>
            <w:hideMark/>
          </w:tcPr>
          <w:p w:rsidR="00A23D87" w:rsidRPr="00A23D87" w:rsidRDefault="00A23D87" w:rsidP="00A23D87">
            <w:r w:rsidRPr="00A23D87">
              <w:t>3-room</w:t>
            </w:r>
          </w:p>
        </w:tc>
        <w:tc>
          <w:tcPr>
            <w:tcW w:w="0" w:type="auto"/>
            <w:vAlign w:val="center"/>
            <w:hideMark/>
          </w:tcPr>
          <w:p w:rsidR="00A23D87" w:rsidRPr="00A23D87" w:rsidRDefault="00A23D87" w:rsidP="00A23D87">
            <w:r w:rsidRPr="00A23D87">
              <w:t>47.5</w:t>
            </w:r>
          </w:p>
        </w:tc>
        <w:tc>
          <w:tcPr>
            <w:tcW w:w="0" w:type="auto"/>
            <w:vAlign w:val="center"/>
            <w:hideMark/>
          </w:tcPr>
          <w:p w:rsidR="00A23D87" w:rsidRPr="00A23D87" w:rsidRDefault="00A23D87" w:rsidP="00A23D87">
            <w:r w:rsidRPr="00A23D87">
              <w:t>35.4</w:t>
            </w:r>
          </w:p>
        </w:tc>
        <w:tc>
          <w:tcPr>
            <w:tcW w:w="0" w:type="auto"/>
            <w:vAlign w:val="center"/>
            <w:hideMark/>
          </w:tcPr>
          <w:p w:rsidR="00A23D87" w:rsidRPr="00A23D87" w:rsidRDefault="00A23D87" w:rsidP="00A23D87">
            <w:r w:rsidRPr="00A23D87">
              <w:t>25.7</w:t>
            </w:r>
          </w:p>
        </w:tc>
      </w:tr>
      <w:tr w:rsidR="00A23D87" w:rsidRPr="00A23D87" w:rsidTr="00A23D87">
        <w:trPr>
          <w:tblCellSpacing w:w="15" w:type="dxa"/>
        </w:trPr>
        <w:tc>
          <w:tcPr>
            <w:tcW w:w="0" w:type="auto"/>
            <w:vAlign w:val="center"/>
            <w:hideMark/>
          </w:tcPr>
          <w:p w:rsidR="00A23D87" w:rsidRPr="00A23D87" w:rsidRDefault="00A23D87" w:rsidP="00A23D87">
            <w:r w:rsidRPr="00A23D87">
              <w:lastRenderedPageBreak/>
              <w:t>4-room</w:t>
            </w:r>
          </w:p>
        </w:tc>
        <w:tc>
          <w:tcPr>
            <w:tcW w:w="0" w:type="auto"/>
            <w:vAlign w:val="center"/>
            <w:hideMark/>
          </w:tcPr>
          <w:p w:rsidR="00A23D87" w:rsidRPr="00A23D87" w:rsidRDefault="00A23D87" w:rsidP="00A23D87">
            <w:r w:rsidRPr="00A23D87">
              <w:t>24.0</w:t>
            </w:r>
          </w:p>
        </w:tc>
        <w:tc>
          <w:tcPr>
            <w:tcW w:w="0" w:type="auto"/>
            <w:vAlign w:val="center"/>
            <w:hideMark/>
          </w:tcPr>
          <w:p w:rsidR="00A23D87" w:rsidRPr="00A23D87" w:rsidRDefault="00A23D87" w:rsidP="00A23D87">
            <w:r w:rsidRPr="00A23D87">
              <w:t>27.4</w:t>
            </w:r>
          </w:p>
        </w:tc>
        <w:tc>
          <w:tcPr>
            <w:tcW w:w="0" w:type="auto"/>
            <w:vAlign w:val="center"/>
            <w:hideMark/>
          </w:tcPr>
          <w:p w:rsidR="00A23D87" w:rsidRPr="00A23D87" w:rsidRDefault="00A23D87" w:rsidP="00A23D87">
            <w:r w:rsidRPr="00A23D87">
              <w:t>33.2</w:t>
            </w:r>
          </w:p>
        </w:tc>
      </w:tr>
      <w:tr w:rsidR="00A23D87" w:rsidRPr="00A23D87" w:rsidTr="00A23D87">
        <w:trPr>
          <w:tblCellSpacing w:w="15" w:type="dxa"/>
        </w:trPr>
        <w:tc>
          <w:tcPr>
            <w:tcW w:w="0" w:type="auto"/>
            <w:vAlign w:val="center"/>
            <w:hideMark/>
          </w:tcPr>
          <w:p w:rsidR="00A23D87" w:rsidRPr="00A23D87" w:rsidRDefault="00A23D87" w:rsidP="00A23D87">
            <w:r w:rsidRPr="00A23D87">
              <w:t xml:space="preserve">5-room, executive, </w:t>
            </w:r>
            <w:proofErr w:type="spellStart"/>
            <w:r w:rsidRPr="00A23D87">
              <w:t>maisonette</w:t>
            </w:r>
            <w:proofErr w:type="spellEnd"/>
            <w:r w:rsidRPr="00A23D87">
              <w:t>, and larger units</w:t>
            </w:r>
          </w:p>
        </w:tc>
        <w:tc>
          <w:tcPr>
            <w:tcW w:w="0" w:type="auto"/>
            <w:vAlign w:val="center"/>
            <w:hideMark/>
          </w:tcPr>
          <w:p w:rsidR="00A23D87" w:rsidRPr="00A23D87" w:rsidRDefault="00A23D87" w:rsidP="00A23D87">
            <w:r w:rsidRPr="00A23D87">
              <w:t>9.0</w:t>
            </w:r>
          </w:p>
        </w:tc>
        <w:tc>
          <w:tcPr>
            <w:tcW w:w="0" w:type="auto"/>
            <w:vAlign w:val="center"/>
            <w:hideMark/>
          </w:tcPr>
          <w:p w:rsidR="00A23D87" w:rsidRPr="00A23D87" w:rsidRDefault="00A23D87" w:rsidP="00A23D87">
            <w:r w:rsidRPr="00A23D87">
              <w:t>13.0</w:t>
            </w:r>
          </w:p>
        </w:tc>
        <w:tc>
          <w:tcPr>
            <w:tcW w:w="0" w:type="auto"/>
            <w:vAlign w:val="center"/>
            <w:hideMark/>
          </w:tcPr>
          <w:p w:rsidR="00A23D87" w:rsidRPr="00A23D87" w:rsidRDefault="00A23D87" w:rsidP="00A23D87">
            <w:r w:rsidRPr="00A23D87">
              <w:t>23.7</w:t>
            </w:r>
          </w:p>
        </w:tc>
      </w:tr>
    </w:tbl>
    <w:p w:rsidR="00A23D87" w:rsidRPr="00A23D87" w:rsidRDefault="00A23D87" w:rsidP="00A23D87">
      <w:r w:rsidRPr="00A23D87">
        <w:t xml:space="preserve">Source: Singapore Census of Population (2000) p. 6; Wong and </w:t>
      </w:r>
      <w:proofErr w:type="spellStart"/>
      <w:r w:rsidRPr="00A23D87">
        <w:t>Yeh</w:t>
      </w:r>
      <w:proofErr w:type="spellEnd"/>
      <w:r w:rsidRPr="00A23D87">
        <w:t xml:space="preserve"> (1985) p. 377</w:t>
      </w:r>
    </w:p>
    <w:p w:rsidR="00A23D87" w:rsidRPr="00A23D87" w:rsidRDefault="00A23D87" w:rsidP="00A23D87">
      <w:r w:rsidRPr="00A23D87">
        <w:t>Public housing apartments have been allocated to applicants on a first come, first served basis. Furthermore, public housing estates in Singapore have been equitably developed throughout the city-state providing locational choices. For the urban poor, transport, apart from housing, usually constitutes the major household expense item.</w:t>
      </w:r>
    </w:p>
    <w:p w:rsidR="00A23D87" w:rsidRPr="00A23D87" w:rsidRDefault="00A23D87" w:rsidP="00A23D87">
      <w:r w:rsidRPr="00A23D87">
        <w:t>All the public housing estates are connected to modern sanitation and sewerage treatment works. In addition, there is piped potable water supply and electricity. A solid waste management system was also provided and put in place. Hence, the public housing program was effective in breaking the vicious cycle of the lack of provision of environmental and health infrastructure, which has led to highly unhealthy and socially vulnerable conditions in slum and squatter settlements.</w:t>
      </w:r>
    </w:p>
    <w:p w:rsidR="00A23D87" w:rsidRPr="00A23D87" w:rsidRDefault="00A23D87" w:rsidP="00A23D87">
      <w:r w:rsidRPr="00A23D87">
        <w:t>The discussion of the success that cities such as Singapore and Hong Kong have seen in addressing slum formation underscores the importance of urban housing provision with planned economic development and projected urban growth. In the case of the cities with relatively high proportions of urban population living in slums, such as Jakarta or Metro Manila, linkages do not exist between economic development or urban growth and the provision of housing. So there is economic growth in these cities that governments have not effectively linked to the urban growth expected and the need to provide for urban housing. The implications, as discussed above, have been the persistence and proliferation of slums. Low-income segments of the urban population are unlikely to afford the increasing costs of housing in rapidly growing cities unless there is a provision for such affordable housing by the city government, given the economic growth that is being planned.</w:t>
      </w:r>
    </w:p>
    <w:p w:rsidR="00A23D87" w:rsidRPr="00A23D87" w:rsidRDefault="00A23D87" w:rsidP="00A23D87">
      <w:hyperlink r:id="rId40" w:tooltip="Go to other sections in this page" w:history="1">
        <w:r w:rsidRPr="00A23D87">
          <w:rPr>
            <w:rStyle w:val="Hyperlink"/>
          </w:rPr>
          <w:t>Go to:</w:t>
        </w:r>
      </w:hyperlink>
    </w:p>
    <w:p w:rsidR="00A23D87" w:rsidRPr="00A23D87" w:rsidRDefault="00A23D87" w:rsidP="00A23D87">
      <w:pPr>
        <w:rPr>
          <w:b/>
          <w:bCs/>
        </w:rPr>
      </w:pPr>
      <w:r w:rsidRPr="00A23D87">
        <w:rPr>
          <w:b/>
          <w:bCs/>
        </w:rPr>
        <w:t>FURTHER READING</w:t>
      </w:r>
    </w:p>
    <w:p w:rsidR="00A23D87" w:rsidRPr="00A23D87" w:rsidRDefault="00A23D87" w:rsidP="00A23D87">
      <w:r w:rsidRPr="00A23D87">
        <w:t xml:space="preserve">Bradford </w:t>
      </w:r>
      <w:proofErr w:type="gramStart"/>
      <w:r w:rsidRPr="00A23D87">
        <w:t>A</w:t>
      </w:r>
      <w:proofErr w:type="gramEnd"/>
      <w:r w:rsidRPr="00A23D87">
        <w:t xml:space="preserve">, Brook R, </w:t>
      </w:r>
      <w:proofErr w:type="spellStart"/>
      <w:r w:rsidRPr="00A23D87">
        <w:t>Hunshal</w:t>
      </w:r>
      <w:proofErr w:type="spellEnd"/>
      <w:r w:rsidRPr="00A23D87">
        <w:t xml:space="preserve"> CS. Wastewater irrigation in </w:t>
      </w:r>
      <w:proofErr w:type="spellStart"/>
      <w:r w:rsidRPr="00A23D87">
        <w:t>Hubli-Darwad</w:t>
      </w:r>
      <w:proofErr w:type="spellEnd"/>
      <w:r w:rsidRPr="00A23D87">
        <w:t xml:space="preserve">, India: Implications for health and livelihoods. </w:t>
      </w:r>
      <w:r w:rsidRPr="00A23D87">
        <w:rPr>
          <w:i/>
          <w:iCs/>
        </w:rPr>
        <w:t>Environ Urban</w:t>
      </w:r>
      <w:r w:rsidRPr="00A23D87">
        <w:t>. 2003</w:t>
      </w:r>
      <w:proofErr w:type="gramStart"/>
      <w:r w:rsidRPr="00A23D87">
        <w:t>;15:157</w:t>
      </w:r>
      <w:proofErr w:type="gramEnd"/>
      <w:r w:rsidRPr="00A23D87">
        <w:t>–170.</w:t>
      </w:r>
    </w:p>
    <w:p w:rsidR="00A23D87" w:rsidRPr="00A23D87" w:rsidRDefault="00A23D87" w:rsidP="00A23D87">
      <w:proofErr w:type="gramStart"/>
      <w:r w:rsidRPr="00A23D87">
        <w:t>ESCAP (Economic and Social Commission for Asia and the Pacific).</w:t>
      </w:r>
      <w:proofErr w:type="gramEnd"/>
      <w:r w:rsidRPr="00A23D87">
        <w:t xml:space="preserve"> </w:t>
      </w:r>
      <w:proofErr w:type="gramStart"/>
      <w:r w:rsidRPr="00A23D87">
        <w:rPr>
          <w:i/>
          <w:iCs/>
        </w:rPr>
        <w:t xml:space="preserve">State of </w:t>
      </w:r>
      <w:proofErr w:type="spellStart"/>
      <w:r w:rsidRPr="00A23D87">
        <w:rPr>
          <w:i/>
          <w:iCs/>
        </w:rPr>
        <w:t>Urbanisation</w:t>
      </w:r>
      <w:proofErr w:type="spellEnd"/>
      <w:r w:rsidRPr="00A23D87">
        <w:rPr>
          <w:i/>
          <w:iCs/>
        </w:rPr>
        <w:t xml:space="preserve"> in Asia and the Pacific 1993</w:t>
      </w:r>
      <w:r w:rsidRPr="00A23D87">
        <w:t>, ST/ESCAP/1300.</w:t>
      </w:r>
      <w:proofErr w:type="gramEnd"/>
      <w:r w:rsidRPr="00A23D87">
        <w:t xml:space="preserve"> </w:t>
      </w:r>
      <w:proofErr w:type="gramStart"/>
      <w:r w:rsidRPr="00A23D87">
        <w:t>ESCAP; 1993.</w:t>
      </w:r>
      <w:proofErr w:type="gramEnd"/>
    </w:p>
    <w:p w:rsidR="00A23D87" w:rsidRPr="00A23D87" w:rsidRDefault="00A23D87" w:rsidP="00A23D87">
      <w:r w:rsidRPr="00A23D87">
        <w:t xml:space="preserve">Lo F-C, </w:t>
      </w:r>
      <w:proofErr w:type="spellStart"/>
      <w:r w:rsidRPr="00A23D87">
        <w:t>Yeung</w:t>
      </w:r>
      <w:proofErr w:type="spellEnd"/>
      <w:r w:rsidRPr="00A23D87">
        <w:t xml:space="preserve"> Y-M, eds. </w:t>
      </w:r>
      <w:r w:rsidRPr="00A23D87">
        <w:rPr>
          <w:i/>
          <w:iCs/>
        </w:rPr>
        <w:t>Emerging World Cities in Pacific Asia</w:t>
      </w:r>
      <w:r w:rsidRPr="00A23D87">
        <w:t>. Tokyo: United Nations University; 1996.</w:t>
      </w:r>
    </w:p>
    <w:p w:rsidR="00A23D87" w:rsidRPr="00A23D87" w:rsidRDefault="00A23D87" w:rsidP="00A23D87">
      <w:proofErr w:type="spellStart"/>
      <w:r w:rsidRPr="00A23D87">
        <w:lastRenderedPageBreak/>
        <w:t>Prud’homme</w:t>
      </w:r>
      <w:proofErr w:type="spellEnd"/>
      <w:r w:rsidRPr="00A23D87">
        <w:t xml:space="preserve"> R. Management of megacities: Institutional dimensions. In: Stubbs J, Clarke G, eds. </w:t>
      </w:r>
      <w:r w:rsidRPr="00A23D87">
        <w:rPr>
          <w:i/>
          <w:iCs/>
        </w:rPr>
        <w:t>Megacity Management in the Asian and Pacific Region: Policy Issues and Innovative Approaches, Proceedings of the Asian Development Bank and the World Bank Regional Seminar on Megacities Management in Asia and the Pacific</w:t>
      </w:r>
      <w:r w:rsidRPr="00A23D87">
        <w:t>, 24–30 October 1995, Vol. 1. Manila: Asian Development Bank; 1996:99–132.</w:t>
      </w:r>
    </w:p>
    <w:p w:rsidR="00A23D87" w:rsidRPr="00A23D87" w:rsidRDefault="00A23D87" w:rsidP="00A23D87">
      <w:proofErr w:type="gramStart"/>
      <w:r w:rsidRPr="00A23D87">
        <w:t>Singapore Department of Statistics.</w:t>
      </w:r>
      <w:proofErr w:type="gramEnd"/>
      <w:r w:rsidRPr="00A23D87">
        <w:t xml:space="preserve"> </w:t>
      </w:r>
      <w:proofErr w:type="gramStart"/>
      <w:r w:rsidRPr="00A23D87">
        <w:rPr>
          <w:i/>
          <w:iCs/>
        </w:rPr>
        <w:t>Households and Housing</w:t>
      </w:r>
      <w:r w:rsidRPr="00A23D87">
        <w:t>.</w:t>
      </w:r>
      <w:proofErr w:type="gramEnd"/>
      <w:r w:rsidRPr="00A23D87">
        <w:t xml:space="preserve"> </w:t>
      </w:r>
      <w:proofErr w:type="gramStart"/>
      <w:r w:rsidRPr="00A23D87">
        <w:t>Singapore Census of Population 2000, Advance Data Release No. 6; 2001.</w:t>
      </w:r>
      <w:proofErr w:type="gramEnd"/>
    </w:p>
    <w:p w:rsidR="00A23D87" w:rsidRPr="00A23D87" w:rsidRDefault="00A23D87" w:rsidP="00A23D87">
      <w:proofErr w:type="gramStart"/>
      <w:r w:rsidRPr="00A23D87">
        <w:t>United Nations.</w:t>
      </w:r>
      <w:proofErr w:type="gramEnd"/>
      <w:r w:rsidRPr="00A23D87">
        <w:t xml:space="preserve"> </w:t>
      </w:r>
      <w:r w:rsidRPr="00A23D87">
        <w:rPr>
          <w:i/>
          <w:iCs/>
        </w:rPr>
        <w:t xml:space="preserve">World </w:t>
      </w:r>
      <w:proofErr w:type="spellStart"/>
      <w:r w:rsidRPr="00A23D87">
        <w:rPr>
          <w:i/>
          <w:iCs/>
        </w:rPr>
        <w:t>Urbanisation</w:t>
      </w:r>
      <w:proofErr w:type="spellEnd"/>
      <w:r w:rsidRPr="00A23D87">
        <w:rPr>
          <w:i/>
          <w:iCs/>
        </w:rPr>
        <w:t xml:space="preserve"> Prospects: The 1999 Revision, Data Tables and Highlights</w:t>
      </w:r>
      <w:r w:rsidRPr="00A23D87">
        <w:t>. New York: United Nations Population Division, United Nations, ESA/P/WP.161; 2000.</w:t>
      </w:r>
    </w:p>
    <w:p w:rsidR="00A23D87" w:rsidRPr="00A23D87" w:rsidRDefault="00A23D87" w:rsidP="00A23D87">
      <w:proofErr w:type="gramStart"/>
      <w:r w:rsidRPr="00A23D87">
        <w:t xml:space="preserve">Wong AK, </w:t>
      </w:r>
      <w:proofErr w:type="spellStart"/>
      <w:r w:rsidRPr="00A23D87">
        <w:t>Yeh</w:t>
      </w:r>
      <w:proofErr w:type="spellEnd"/>
      <w:r w:rsidRPr="00A23D87">
        <w:t xml:space="preserve"> SHK, eds. </w:t>
      </w:r>
      <w:r w:rsidRPr="00A23D87">
        <w:rPr>
          <w:i/>
          <w:iCs/>
        </w:rPr>
        <w:t>Housing a Nation</w:t>
      </w:r>
      <w:r w:rsidRPr="00A23D87">
        <w:t>—</w:t>
      </w:r>
      <w:r w:rsidRPr="00A23D87">
        <w:rPr>
          <w:i/>
          <w:iCs/>
        </w:rPr>
        <w:t>25 Years of Public Housing in Singapore</w:t>
      </w:r>
      <w:r w:rsidRPr="00A23D87">
        <w:t>.</w:t>
      </w:r>
      <w:proofErr w:type="gramEnd"/>
      <w:r w:rsidRPr="00A23D87">
        <w:t xml:space="preserve"> Singapore: Maruzen Asia; 1985.</w:t>
      </w:r>
    </w:p>
    <w:p w:rsidR="00A23D87" w:rsidRPr="00A23D87" w:rsidRDefault="00A23D87" w:rsidP="00A23D87">
      <w:hyperlink r:id="rId41" w:tooltip="Go to other sections in this page" w:history="1">
        <w:r w:rsidRPr="00A23D87">
          <w:rPr>
            <w:rStyle w:val="Hyperlink"/>
          </w:rPr>
          <w:t>Go to:</w:t>
        </w:r>
      </w:hyperlink>
    </w:p>
    <w:p w:rsidR="00A23D87" w:rsidRPr="00A23D87" w:rsidRDefault="00A23D87" w:rsidP="00A23D87">
      <w:pPr>
        <w:rPr>
          <w:b/>
          <w:bCs/>
        </w:rPr>
      </w:pPr>
      <w:r w:rsidRPr="00A23D87">
        <w:rPr>
          <w:b/>
          <w:bCs/>
        </w:rPr>
        <w:t>Footnotes</w:t>
      </w:r>
    </w:p>
    <w:p w:rsidR="00A23D87" w:rsidRPr="00A23D87" w:rsidRDefault="00A23D87" w:rsidP="00A23D87">
      <w:proofErr w:type="spellStart"/>
      <w:r w:rsidRPr="00A23D87">
        <w:t>Ooi</w:t>
      </w:r>
      <w:proofErr w:type="spellEnd"/>
      <w:r w:rsidRPr="00A23D87">
        <w:t xml:space="preserve"> is with the National Institute of Education, </w:t>
      </w:r>
      <w:proofErr w:type="spellStart"/>
      <w:r w:rsidRPr="00A23D87">
        <w:t>Nanyang</w:t>
      </w:r>
      <w:proofErr w:type="spellEnd"/>
      <w:r w:rsidRPr="00A23D87">
        <w:t xml:space="preserve"> Technological University, Singapore, Singapore; </w:t>
      </w:r>
      <w:proofErr w:type="spellStart"/>
      <w:r w:rsidRPr="00A23D87">
        <w:t>Phua</w:t>
      </w:r>
      <w:proofErr w:type="spellEnd"/>
      <w:r w:rsidRPr="00A23D87">
        <w:t xml:space="preserve"> is with National University of Singapore, Singapore, Singapore.</w:t>
      </w:r>
    </w:p>
    <w:p w:rsidR="00A23D87" w:rsidRPr="00A23D87" w:rsidRDefault="00A23D87" w:rsidP="00A23D87">
      <w:hyperlink r:id="rId42" w:tooltip="Go to other sections in this page" w:history="1">
        <w:r w:rsidRPr="00A23D87">
          <w:rPr>
            <w:rStyle w:val="Hyperlink"/>
          </w:rPr>
          <w:t>Go to:</w:t>
        </w:r>
      </w:hyperlink>
    </w:p>
    <w:p w:rsidR="00A23D87" w:rsidRPr="00A23D87" w:rsidRDefault="00A23D87" w:rsidP="00A23D87">
      <w:pPr>
        <w:rPr>
          <w:b/>
          <w:bCs/>
        </w:rPr>
      </w:pPr>
      <w:r w:rsidRPr="00A23D87">
        <w:rPr>
          <w:b/>
          <w:bCs/>
        </w:rPr>
        <w:t>References</w:t>
      </w:r>
    </w:p>
    <w:p w:rsidR="00A23D87" w:rsidRPr="00A23D87" w:rsidRDefault="00A23D87" w:rsidP="00A23D87">
      <w:r w:rsidRPr="00A23D87">
        <w:t xml:space="preserve">1. </w:t>
      </w:r>
      <w:proofErr w:type="spellStart"/>
      <w:r w:rsidRPr="00A23D87">
        <w:t>Hardoy</w:t>
      </w:r>
      <w:proofErr w:type="spellEnd"/>
      <w:r w:rsidRPr="00A23D87">
        <w:t xml:space="preserve"> J, </w:t>
      </w:r>
      <w:proofErr w:type="spellStart"/>
      <w:r w:rsidRPr="00A23D87">
        <w:t>Satterthwaite</w:t>
      </w:r>
      <w:proofErr w:type="spellEnd"/>
      <w:r w:rsidRPr="00A23D87">
        <w:t xml:space="preserve"> D. Squatter Citizen—Life in the Urban Third World. London: </w:t>
      </w:r>
      <w:proofErr w:type="spellStart"/>
      <w:r w:rsidRPr="00A23D87">
        <w:t>Earthscan</w:t>
      </w:r>
      <w:proofErr w:type="spellEnd"/>
      <w:r w:rsidRPr="00A23D87">
        <w:t xml:space="preserve">; 1995:301. </w:t>
      </w:r>
    </w:p>
    <w:p w:rsidR="00A23D87" w:rsidRPr="00A23D87" w:rsidRDefault="00A23D87" w:rsidP="00A23D87">
      <w:r w:rsidRPr="00A23D87">
        <w:t xml:space="preserve">2. Population Reference Bureau. Human Population: Fundamentals of Growth Patterns of World </w:t>
      </w:r>
      <w:proofErr w:type="spellStart"/>
      <w:r w:rsidRPr="00A23D87">
        <w:t>Urbanisation</w:t>
      </w:r>
      <w:proofErr w:type="spellEnd"/>
      <w:r w:rsidRPr="00A23D87">
        <w:t xml:space="preserve">. USA: Population Reference Bureau. Available at: </w:t>
      </w:r>
      <w:hyperlink r:id="rId43" w:tgtFrame="_blank" w:history="1">
        <w:r w:rsidRPr="00A23D87">
          <w:rPr>
            <w:rStyle w:val="Hyperlink"/>
          </w:rPr>
          <w:t>http://www.prb.org</w:t>
        </w:r>
      </w:hyperlink>
      <w:r w:rsidRPr="00A23D87">
        <w:t xml:space="preserve">. </w:t>
      </w:r>
      <w:proofErr w:type="gramStart"/>
      <w:r w:rsidRPr="00A23D87">
        <w:t>Accessed on: 15 Dec 2004.</w:t>
      </w:r>
      <w:proofErr w:type="gramEnd"/>
    </w:p>
    <w:p w:rsidR="00A23D87" w:rsidRPr="00A23D87" w:rsidRDefault="00A23D87" w:rsidP="00A23D87">
      <w:r w:rsidRPr="00A23D87">
        <w:t xml:space="preserve">3. </w:t>
      </w:r>
      <w:proofErr w:type="spellStart"/>
      <w:r w:rsidRPr="00A23D87">
        <w:t>Laquian</w:t>
      </w:r>
      <w:proofErr w:type="spellEnd"/>
      <w:r w:rsidRPr="00A23D87">
        <w:t xml:space="preserve"> AA. </w:t>
      </w:r>
      <w:proofErr w:type="gramStart"/>
      <w:r w:rsidRPr="00A23D87">
        <w:t>Beyond Metropolis—The Planning and Governance of Asia’s Mega-Urban Regions.</w:t>
      </w:r>
      <w:proofErr w:type="gramEnd"/>
      <w:r w:rsidRPr="00A23D87">
        <w:t xml:space="preserve"> Baltimore: The Johns Hopkins University Press; 2005. </w:t>
      </w:r>
    </w:p>
    <w:p w:rsidR="00A23D87" w:rsidRPr="00A23D87" w:rsidRDefault="00A23D87" w:rsidP="00A23D87">
      <w:r w:rsidRPr="00A23D87">
        <w:t xml:space="preserve">4. UNDP. UN Millennium Project—Investing in Development: A Practical Plan to Achieve the Millennium Development Goals. London: </w:t>
      </w:r>
      <w:proofErr w:type="spellStart"/>
      <w:r w:rsidRPr="00A23D87">
        <w:t>Earthscan</w:t>
      </w:r>
      <w:proofErr w:type="spellEnd"/>
      <w:r w:rsidRPr="00A23D87">
        <w:t xml:space="preserve">; 2005. </w:t>
      </w:r>
    </w:p>
    <w:p w:rsidR="00A23D87" w:rsidRPr="00A23D87" w:rsidRDefault="00A23D87" w:rsidP="00A23D87">
      <w:r w:rsidRPr="00A23D87">
        <w:t xml:space="preserve">5. UNFPA. </w:t>
      </w:r>
      <w:proofErr w:type="gramStart"/>
      <w:r w:rsidRPr="00A23D87">
        <w:t>State of the World Population.</w:t>
      </w:r>
      <w:proofErr w:type="gramEnd"/>
      <w:r w:rsidRPr="00A23D87">
        <w:t xml:space="preserve"> New York: UNFPA; 2004. </w:t>
      </w:r>
    </w:p>
    <w:p w:rsidR="00A23D87" w:rsidRPr="00A23D87" w:rsidRDefault="00A23D87" w:rsidP="00A23D87">
      <w:r w:rsidRPr="00A23D87">
        <w:t xml:space="preserve">6. </w:t>
      </w:r>
      <w:proofErr w:type="spellStart"/>
      <w:r w:rsidRPr="00A23D87">
        <w:t>Yeung</w:t>
      </w:r>
      <w:proofErr w:type="spellEnd"/>
      <w:r w:rsidRPr="00A23D87">
        <w:t xml:space="preserve"> Y-M. The Urban Poor and Urban Basic Infrastructure Services in Asia: Past Approaches and Emerging Challenges’ Occasional Paper No. 7, Hong Kong Institute of Asia-Pacific Studies. Hong Kong: The Chinese University of Hong Kong; 1991:7. </w:t>
      </w:r>
    </w:p>
    <w:p w:rsidR="00A23D87" w:rsidRPr="00A23D87" w:rsidRDefault="00A23D87" w:rsidP="00A23D87">
      <w:r w:rsidRPr="00A23D87">
        <w:lastRenderedPageBreak/>
        <w:t>7. Marr RL. Hanoi and Ho Chi Minh City: the long struggle of two cities/recovering from endless war. In: Schneider-</w:t>
      </w:r>
      <w:proofErr w:type="spellStart"/>
      <w:r w:rsidRPr="00A23D87">
        <w:t>Silwa</w:t>
      </w:r>
      <w:proofErr w:type="spellEnd"/>
      <w:r w:rsidRPr="00A23D87">
        <w:t xml:space="preserve"> R, ed. Cities in Transition—</w:t>
      </w:r>
      <w:proofErr w:type="spellStart"/>
      <w:r w:rsidRPr="00A23D87">
        <w:t>Globalisation</w:t>
      </w:r>
      <w:proofErr w:type="spellEnd"/>
      <w:r w:rsidRPr="00A23D87">
        <w:t xml:space="preserve">, Political Change and Urban Development. Dordrecht: Springer; 2005:273–320, 305. </w:t>
      </w:r>
    </w:p>
    <w:p w:rsidR="00A23D87" w:rsidRPr="00A23D87" w:rsidRDefault="00A23D87" w:rsidP="00A23D87">
      <w:r w:rsidRPr="00A23D87">
        <w:t xml:space="preserve">8. World Bank. </w:t>
      </w:r>
      <w:proofErr w:type="gramStart"/>
      <w:r w:rsidRPr="00A23D87">
        <w:t>World Development Report.</w:t>
      </w:r>
      <w:proofErr w:type="gramEnd"/>
      <w:r w:rsidRPr="00A23D87">
        <w:t xml:space="preserve"> Washington, DC: World Bank; 2004:14. </w:t>
      </w:r>
    </w:p>
    <w:p w:rsidR="00A23D87" w:rsidRPr="00A23D87" w:rsidRDefault="00A23D87" w:rsidP="00A23D87">
      <w:r w:rsidRPr="00A23D87">
        <w:t xml:space="preserve">9. McGee TG. </w:t>
      </w:r>
      <w:proofErr w:type="spellStart"/>
      <w:r w:rsidRPr="00A23D87">
        <w:rPr>
          <w:i/>
          <w:iCs/>
        </w:rPr>
        <w:t>Urbanisation</w:t>
      </w:r>
      <w:proofErr w:type="spellEnd"/>
      <w:r w:rsidRPr="00A23D87">
        <w:rPr>
          <w:i/>
          <w:iCs/>
        </w:rPr>
        <w:t xml:space="preserve"> Takes on New Dimensions in Asia’s Population Giants</w:t>
      </w:r>
      <w:r w:rsidRPr="00A23D87">
        <w:t xml:space="preserve">. USA: Population Reference Bureau. Available at: </w:t>
      </w:r>
      <w:hyperlink r:id="rId44" w:tgtFrame="_blank" w:history="1">
        <w:r w:rsidRPr="00A23D87">
          <w:rPr>
            <w:rStyle w:val="Hyperlink"/>
          </w:rPr>
          <w:t>http://www.prb.org</w:t>
        </w:r>
      </w:hyperlink>
      <w:r w:rsidRPr="00A23D87">
        <w:t xml:space="preserve">. </w:t>
      </w:r>
      <w:proofErr w:type="gramStart"/>
      <w:r w:rsidRPr="00A23D87">
        <w:t>Accessed on: August 2005.</w:t>
      </w:r>
      <w:proofErr w:type="gramEnd"/>
    </w:p>
    <w:p w:rsidR="00A23D87" w:rsidRPr="00A23D87" w:rsidRDefault="00A23D87" w:rsidP="00A23D87">
      <w:r w:rsidRPr="00A23D87">
        <w:t xml:space="preserve">10. Lee BT. Urban Development in Malaysia: The Case for a More Holistic and Strategic Approach to </w:t>
      </w:r>
      <w:proofErr w:type="spellStart"/>
      <w:r w:rsidRPr="00A23D87">
        <w:t>Urbanisation</w:t>
      </w:r>
      <w:proofErr w:type="spellEnd"/>
      <w:r w:rsidRPr="00A23D87">
        <w:t xml:space="preserve">. In: </w:t>
      </w:r>
      <w:proofErr w:type="spellStart"/>
      <w:r w:rsidRPr="00A23D87">
        <w:t>Knie</w:t>
      </w:r>
      <w:proofErr w:type="spellEnd"/>
      <w:r w:rsidRPr="00A23D87">
        <w:t xml:space="preserve"> C, ed. Urban and </w:t>
      </w:r>
      <w:proofErr w:type="spellStart"/>
      <w:r w:rsidRPr="00A23D87">
        <w:t>Peri</w:t>
      </w:r>
      <w:proofErr w:type="spellEnd"/>
      <w:r w:rsidRPr="00A23D87">
        <w:t xml:space="preserve">-urban Developments—Structures, Processes and Solutions. Cologne: University of Cologne; 2006:1–14. </w:t>
      </w:r>
    </w:p>
    <w:p w:rsidR="00A23D87" w:rsidRPr="00A23D87" w:rsidRDefault="00A23D87" w:rsidP="00A23D87">
      <w:r w:rsidRPr="00A23D87">
        <w:t xml:space="preserve">11. </w:t>
      </w:r>
      <w:proofErr w:type="spellStart"/>
      <w:r w:rsidRPr="00A23D87">
        <w:t>MacGregor</w:t>
      </w:r>
      <w:proofErr w:type="spellEnd"/>
      <w:r w:rsidRPr="00A23D87">
        <w:t xml:space="preserve"> D, Simon D, Thompson D. The </w:t>
      </w:r>
      <w:proofErr w:type="spellStart"/>
      <w:r w:rsidRPr="00A23D87">
        <w:t>Peri</w:t>
      </w:r>
      <w:proofErr w:type="spellEnd"/>
      <w:r w:rsidRPr="00A23D87">
        <w:t xml:space="preserve">-urban Interface—Approaches to Sustainable Natural and Human Resource Use. London: </w:t>
      </w:r>
      <w:proofErr w:type="spellStart"/>
      <w:r w:rsidRPr="00A23D87">
        <w:t>Earthscan</w:t>
      </w:r>
      <w:proofErr w:type="spellEnd"/>
      <w:r w:rsidRPr="00A23D87">
        <w:t xml:space="preserve">; 2006:7. </w:t>
      </w:r>
    </w:p>
    <w:p w:rsidR="00A23D87" w:rsidRPr="00A23D87" w:rsidRDefault="00A23D87" w:rsidP="00A23D87">
      <w:r w:rsidRPr="00A23D87">
        <w:t xml:space="preserve">12. </w:t>
      </w:r>
      <w:proofErr w:type="spellStart"/>
      <w:r w:rsidRPr="00A23D87">
        <w:t>Sutandyo</w:t>
      </w:r>
      <w:proofErr w:type="spellEnd"/>
      <w:r w:rsidRPr="00A23D87">
        <w:t xml:space="preserve">-Buchholz A. How </w:t>
      </w:r>
      <w:proofErr w:type="gramStart"/>
      <w:r w:rsidRPr="00A23D87">
        <w:t>Essential</w:t>
      </w:r>
      <w:proofErr w:type="gramEnd"/>
      <w:r w:rsidRPr="00A23D87">
        <w:t xml:space="preserve"> is Community-based Solid Waste Management in </w:t>
      </w:r>
      <w:proofErr w:type="spellStart"/>
      <w:r w:rsidRPr="00A23D87">
        <w:t>Peri</w:t>
      </w:r>
      <w:proofErr w:type="spellEnd"/>
      <w:r w:rsidRPr="00A23D87">
        <w:t xml:space="preserve">-urban Areas? </w:t>
      </w:r>
      <w:proofErr w:type="gramStart"/>
      <w:r w:rsidRPr="00A23D87">
        <w:t>Case-study of Jakarta, Indonesia.</w:t>
      </w:r>
      <w:proofErr w:type="gramEnd"/>
      <w:r w:rsidRPr="00A23D87">
        <w:t xml:space="preserve"> In: </w:t>
      </w:r>
      <w:proofErr w:type="spellStart"/>
      <w:r w:rsidRPr="00A23D87">
        <w:t>Knie</w:t>
      </w:r>
      <w:proofErr w:type="spellEnd"/>
      <w:r w:rsidRPr="00A23D87">
        <w:t xml:space="preserve"> C, ed. Urban and </w:t>
      </w:r>
      <w:proofErr w:type="spellStart"/>
      <w:r w:rsidRPr="00A23D87">
        <w:t>Peri</w:t>
      </w:r>
      <w:proofErr w:type="spellEnd"/>
      <w:r w:rsidRPr="00A23D87">
        <w:t xml:space="preserve">-Urban Developments—Structures, Processes and Solutions. Cologne: University of Cologne; 2006:95–104. </w:t>
      </w:r>
    </w:p>
    <w:p w:rsidR="00A23D87" w:rsidRPr="00A23D87" w:rsidRDefault="00A23D87" w:rsidP="00A23D87">
      <w:proofErr w:type="gramStart"/>
      <w:r w:rsidRPr="00A23D87">
        <w:t>13. Abrams C. Squatting and squatters.</w:t>
      </w:r>
      <w:proofErr w:type="gramEnd"/>
      <w:r w:rsidRPr="00A23D87">
        <w:t xml:space="preserve"> In: Abu-</w:t>
      </w:r>
      <w:proofErr w:type="spellStart"/>
      <w:r w:rsidRPr="00A23D87">
        <w:t>Lughod</w:t>
      </w:r>
      <w:proofErr w:type="spellEnd"/>
      <w:r w:rsidRPr="00A23D87">
        <w:t xml:space="preserve"> J, Hay R </w:t>
      </w:r>
      <w:proofErr w:type="spellStart"/>
      <w:r w:rsidRPr="00A23D87">
        <w:t>Jr</w:t>
      </w:r>
      <w:proofErr w:type="spellEnd"/>
      <w:r w:rsidRPr="00A23D87">
        <w:t xml:space="preserve">, eds. Third World </w:t>
      </w:r>
      <w:proofErr w:type="spellStart"/>
      <w:r w:rsidRPr="00A23D87">
        <w:t>Urbanisation</w:t>
      </w:r>
      <w:proofErr w:type="spellEnd"/>
      <w:r w:rsidRPr="00A23D87">
        <w:t xml:space="preserve">. London: Methuen; 1977:298. </w:t>
      </w:r>
    </w:p>
    <w:p w:rsidR="00A23D87" w:rsidRPr="00A23D87" w:rsidRDefault="00A23D87" w:rsidP="00A23D87">
      <w:r w:rsidRPr="00A23D87">
        <w:t xml:space="preserve">14. Fraser JM. </w:t>
      </w:r>
      <w:proofErr w:type="gramStart"/>
      <w:r w:rsidRPr="00A23D87">
        <w:t>Housing and planning in Singapore.</w:t>
      </w:r>
      <w:proofErr w:type="gramEnd"/>
      <w:r w:rsidRPr="00A23D87">
        <w:t xml:space="preserve"> Town Plan Rev. 1952</w:t>
      </w:r>
      <w:proofErr w:type="gramStart"/>
      <w:r w:rsidRPr="00A23D87">
        <w:t>;23:5</w:t>
      </w:r>
      <w:proofErr w:type="gramEnd"/>
      <w:r w:rsidRPr="00A23D87">
        <w:t xml:space="preserve">–25. </w:t>
      </w:r>
    </w:p>
    <w:p w:rsidR="00A23D87" w:rsidRPr="00A23D87" w:rsidRDefault="00A23D87" w:rsidP="00A23D87">
      <w:r w:rsidRPr="00A23D87">
        <w:pict>
          <v:rect id="_x0000_i1025" style="width:0;height:1.5pt" o:hralign="center" o:hrstd="t" o:hr="t" fillcolor="#a0a0a0" stroked="f"/>
        </w:pict>
      </w:r>
    </w:p>
    <w:p w:rsidR="00A23D87" w:rsidRPr="00A23D87" w:rsidRDefault="00A23D87" w:rsidP="00A23D87">
      <w:r w:rsidRPr="00A23D87">
        <w:t xml:space="preserve">Articles from Journal of Urban </w:t>
      </w:r>
      <w:proofErr w:type="gramStart"/>
      <w:r w:rsidRPr="00A23D87">
        <w:t>Health :</w:t>
      </w:r>
      <w:proofErr w:type="gramEnd"/>
      <w:r w:rsidRPr="00A23D87">
        <w:t xml:space="preserve"> Bulletin of the New York Academy of Medicine are provided here courtesy of </w:t>
      </w:r>
      <w:r w:rsidRPr="00A23D87">
        <w:rPr>
          <w:b/>
          <w:bCs/>
        </w:rPr>
        <w:t>New York Academy of Medicine</w:t>
      </w:r>
    </w:p>
    <w:p w:rsidR="00A23D87" w:rsidRPr="00A23D87" w:rsidRDefault="00A23D87" w:rsidP="00A23D87">
      <w:pPr>
        <w:rPr>
          <w:b/>
          <w:bCs/>
        </w:rPr>
      </w:pPr>
      <w:r w:rsidRPr="00A23D87">
        <w:rPr>
          <w:b/>
          <w:bCs/>
        </w:rPr>
        <w:t>Formats:</w:t>
      </w:r>
    </w:p>
    <w:p w:rsidR="00A23D87" w:rsidRPr="00A23D87" w:rsidRDefault="00A23D87" w:rsidP="00A23D87">
      <w:pPr>
        <w:numPr>
          <w:ilvl w:val="0"/>
          <w:numId w:val="1"/>
        </w:numPr>
      </w:pPr>
      <w:r w:rsidRPr="00A23D87">
        <w:t>Article</w:t>
      </w:r>
    </w:p>
    <w:p w:rsidR="00A23D87" w:rsidRPr="00A23D87" w:rsidRDefault="00A23D87" w:rsidP="00A23D87">
      <w:r w:rsidRPr="00A23D87">
        <w:t xml:space="preserve">| </w:t>
      </w:r>
    </w:p>
    <w:p w:rsidR="00A23D87" w:rsidRPr="00A23D87" w:rsidRDefault="00A23D87" w:rsidP="00A23D87">
      <w:pPr>
        <w:numPr>
          <w:ilvl w:val="0"/>
          <w:numId w:val="1"/>
        </w:numPr>
      </w:pPr>
      <w:hyperlink r:id="rId45" w:history="1">
        <w:proofErr w:type="spellStart"/>
        <w:r w:rsidRPr="00A23D87">
          <w:rPr>
            <w:rStyle w:val="Hyperlink"/>
          </w:rPr>
          <w:t>PubReader</w:t>
        </w:r>
        <w:proofErr w:type="spellEnd"/>
      </w:hyperlink>
    </w:p>
    <w:p w:rsidR="00A23D87" w:rsidRPr="00A23D87" w:rsidRDefault="00A23D87" w:rsidP="00A23D87">
      <w:r w:rsidRPr="00A23D87">
        <w:t xml:space="preserve">| </w:t>
      </w:r>
    </w:p>
    <w:p w:rsidR="00A23D87" w:rsidRPr="00A23D87" w:rsidRDefault="00A23D87" w:rsidP="00A23D87">
      <w:pPr>
        <w:numPr>
          <w:ilvl w:val="0"/>
          <w:numId w:val="1"/>
        </w:numPr>
      </w:pPr>
      <w:hyperlink r:id="rId46" w:history="1">
        <w:proofErr w:type="spellStart"/>
        <w:r w:rsidRPr="00A23D87">
          <w:rPr>
            <w:rStyle w:val="Hyperlink"/>
          </w:rPr>
          <w:t>ePub</w:t>
        </w:r>
        <w:proofErr w:type="spellEnd"/>
        <w:r w:rsidRPr="00A23D87">
          <w:rPr>
            <w:rStyle w:val="Hyperlink"/>
          </w:rPr>
          <w:t xml:space="preserve"> (beta)</w:t>
        </w:r>
      </w:hyperlink>
    </w:p>
    <w:p w:rsidR="00A23D87" w:rsidRPr="00A23D87" w:rsidRDefault="00A23D87" w:rsidP="00A23D87">
      <w:r w:rsidRPr="00A23D87">
        <w:t xml:space="preserve">| </w:t>
      </w:r>
    </w:p>
    <w:p w:rsidR="00A23D87" w:rsidRPr="00A23D87" w:rsidRDefault="00A23D87" w:rsidP="00A23D87">
      <w:pPr>
        <w:numPr>
          <w:ilvl w:val="0"/>
          <w:numId w:val="1"/>
        </w:numPr>
      </w:pPr>
      <w:hyperlink r:id="rId47" w:history="1">
        <w:r w:rsidRPr="00A23D87">
          <w:rPr>
            <w:rStyle w:val="Hyperlink"/>
          </w:rPr>
          <w:t>PDF (170K)</w:t>
        </w:r>
      </w:hyperlink>
    </w:p>
    <w:p w:rsidR="00A23D87" w:rsidRPr="00A23D87" w:rsidRDefault="00A23D87" w:rsidP="00A23D87">
      <w:r w:rsidRPr="00A23D87">
        <w:t xml:space="preserve">| </w:t>
      </w:r>
    </w:p>
    <w:p w:rsidR="00A23D87" w:rsidRPr="00A23D87" w:rsidRDefault="00A23D87" w:rsidP="00A23D87">
      <w:pPr>
        <w:numPr>
          <w:ilvl w:val="0"/>
          <w:numId w:val="1"/>
        </w:numPr>
      </w:pPr>
      <w:hyperlink r:id="rId48" w:history="1">
        <w:r w:rsidRPr="00A23D87">
          <w:rPr>
            <w:rStyle w:val="Hyperlink"/>
          </w:rPr>
          <w:t>Citation</w:t>
        </w:r>
      </w:hyperlink>
    </w:p>
    <w:p w:rsidR="00A23D87" w:rsidRPr="00A23D87" w:rsidRDefault="00A23D87" w:rsidP="00A23D87">
      <w:pPr>
        <w:rPr>
          <w:b/>
          <w:bCs/>
        </w:rPr>
      </w:pPr>
      <w:r w:rsidRPr="00A23D87">
        <w:rPr>
          <w:b/>
          <w:bCs/>
        </w:rPr>
        <w:t>Share</w:t>
      </w:r>
    </w:p>
    <w:p w:rsidR="00A23D87" w:rsidRPr="00A23D87" w:rsidRDefault="00A23D87" w:rsidP="00A23D87">
      <w:pPr>
        <w:numPr>
          <w:ilvl w:val="0"/>
          <w:numId w:val="2"/>
        </w:numPr>
      </w:pPr>
      <w:hyperlink r:id="rId49" w:tgtFrame="_blank" w:history="1">
        <w:r w:rsidRPr="00A23D87">
          <w:rPr>
            <w:rStyle w:val="Hyperlink"/>
          </w:rPr>
          <w:drawing>
            <wp:inline distT="0" distB="0" distL="0" distR="0">
              <wp:extent cx="304800" cy="304800"/>
              <wp:effectExtent l="0" t="0" r="0" b="0"/>
              <wp:docPr id="3" name="Picture 3" descr="Share on Facebook">
                <a:hlinkClick xmlns:a="http://schemas.openxmlformats.org/drawingml/2006/main" r:id="rId4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are on Facebook">
                        <a:hlinkClick r:id="rId49" tgtFrame="&quot;_blank&quot;"/>
                      </pic:cNvP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A23D87">
          <w:rPr>
            <w:rStyle w:val="Hyperlink"/>
          </w:rPr>
          <w:t xml:space="preserve">Facebook </w:t>
        </w:r>
      </w:hyperlink>
    </w:p>
    <w:p w:rsidR="00A23D87" w:rsidRPr="00A23D87" w:rsidRDefault="00A23D87" w:rsidP="00A23D87">
      <w:pPr>
        <w:numPr>
          <w:ilvl w:val="0"/>
          <w:numId w:val="2"/>
        </w:numPr>
      </w:pPr>
      <w:hyperlink r:id="rId51" w:tgtFrame="_blank" w:history="1">
        <w:r w:rsidRPr="00A23D87">
          <w:rPr>
            <w:rStyle w:val="Hyperlink"/>
          </w:rPr>
          <w:drawing>
            <wp:inline distT="0" distB="0" distL="0" distR="0">
              <wp:extent cx="304800" cy="304800"/>
              <wp:effectExtent l="0" t="0" r="0" b="0"/>
              <wp:docPr id="2" name="Picture 2" descr="Share on Twitter">
                <a:hlinkClick xmlns:a="http://schemas.openxmlformats.org/drawingml/2006/main" r:id="rId5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hare on Twitter">
                        <a:hlinkClick r:id="rId51" tgtFrame="&quot;_blank&quot;"/>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A23D87">
          <w:rPr>
            <w:rStyle w:val="Hyperlink"/>
          </w:rPr>
          <w:t xml:space="preserve">Twitter </w:t>
        </w:r>
      </w:hyperlink>
    </w:p>
    <w:p w:rsidR="00A23D87" w:rsidRPr="00A23D87" w:rsidRDefault="00A23D87" w:rsidP="00A23D87">
      <w:pPr>
        <w:numPr>
          <w:ilvl w:val="0"/>
          <w:numId w:val="2"/>
        </w:numPr>
      </w:pPr>
      <w:hyperlink r:id="rId53" w:tgtFrame="_blank" w:history="1">
        <w:r w:rsidRPr="00A23D87">
          <w:rPr>
            <w:rStyle w:val="Hyperlink"/>
          </w:rPr>
          <w:drawing>
            <wp:inline distT="0" distB="0" distL="0" distR="0" wp14:anchorId="5A231EBE" wp14:editId="105F581C">
              <wp:extent cx="304800" cy="304800"/>
              <wp:effectExtent l="0" t="0" r="0" b="0"/>
              <wp:docPr id="1" name="Picture 1" descr="Share on Google Plus">
                <a:hlinkClick xmlns:a="http://schemas.openxmlformats.org/drawingml/2006/main" r:id="rId5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hare on Google Plus">
                        <a:hlinkClick r:id="rId53" tgtFrame="&quot;_blank&quot;"/>
                      </pic:cNvPr>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04800" cy="304800"/>
                      </a:xfrm>
                      <a:prstGeom prst="rect">
                        <a:avLst/>
                      </a:prstGeom>
                      <a:noFill/>
                      <a:ln>
                        <a:noFill/>
                      </a:ln>
                    </pic:spPr>
                  </pic:pic>
                </a:graphicData>
              </a:graphic>
            </wp:inline>
          </w:drawing>
        </w:r>
        <w:r w:rsidRPr="00A23D87">
          <w:rPr>
            <w:rStyle w:val="Hyperlink"/>
          </w:rPr>
          <w:t xml:space="preserve">Google+ </w:t>
        </w:r>
      </w:hyperlink>
    </w:p>
    <w:p w:rsidR="00A23D87" w:rsidRPr="00A23D87" w:rsidRDefault="00A23D87" w:rsidP="00A23D87">
      <w:pPr>
        <w:rPr>
          <w:b/>
          <w:bCs/>
        </w:rPr>
      </w:pPr>
      <w:r w:rsidRPr="00A23D87">
        <w:rPr>
          <w:b/>
          <w:bCs/>
        </w:rPr>
        <w:t>Save items</w:t>
      </w:r>
    </w:p>
    <w:bookmarkStart w:id="0" w:name="Shutter"/>
    <w:p w:rsidR="00A23D87" w:rsidRPr="00A23D87" w:rsidRDefault="00A23D87" w:rsidP="00A23D87">
      <w:r w:rsidRPr="00A23D87">
        <w:fldChar w:fldCharType="begin"/>
      </w:r>
      <w:r w:rsidRPr="00A23D87">
        <w:instrText xml:space="preserve"> HYPERLINK "https://www.ncbi.nlm.nih.gov/pmc/articles/PMC1891640/" \o "View more options" </w:instrText>
      </w:r>
      <w:r w:rsidRPr="00A23D87">
        <w:fldChar w:fldCharType="separate"/>
      </w:r>
      <w:r w:rsidRPr="00A23D87">
        <w:rPr>
          <w:rStyle w:val="Hyperlink"/>
        </w:rPr>
        <w:t>View more options</w:t>
      </w:r>
      <w:r w:rsidRPr="00A23D87">
        <w:fldChar w:fldCharType="end"/>
      </w:r>
    </w:p>
    <w:p w:rsidR="00A23D87" w:rsidRPr="00A23D87" w:rsidRDefault="00A23D87" w:rsidP="00A23D87">
      <w:pPr>
        <w:rPr>
          <w:b/>
          <w:bCs/>
        </w:rPr>
      </w:pPr>
      <w:r w:rsidRPr="00A23D87">
        <w:rPr>
          <w:b/>
          <w:bCs/>
        </w:rPr>
        <w:t>Similar articles in PubMed</w:t>
      </w:r>
    </w:p>
    <w:p w:rsidR="00A23D87" w:rsidRPr="00A23D87" w:rsidRDefault="00A23D87" w:rsidP="00A23D87">
      <w:pPr>
        <w:numPr>
          <w:ilvl w:val="0"/>
          <w:numId w:val="3"/>
        </w:numPr>
      </w:pPr>
      <w:hyperlink r:id="rId55" w:history="1">
        <w:r w:rsidRPr="00A23D87">
          <w:rPr>
            <w:rStyle w:val="Hyperlink"/>
          </w:rPr>
          <w:t>Can Habitat II ensure habitable environment for the poor?</w:t>
        </w:r>
      </w:hyperlink>
      <w:r w:rsidRPr="00A23D87">
        <w:t xml:space="preserve">[GROOTS. 1996] </w:t>
      </w:r>
    </w:p>
    <w:p w:rsidR="00A23D87" w:rsidRPr="00A23D87" w:rsidRDefault="00A23D87" w:rsidP="00A23D87">
      <w:pPr>
        <w:numPr>
          <w:ilvl w:val="0"/>
          <w:numId w:val="3"/>
        </w:numPr>
      </w:pPr>
      <w:hyperlink r:id="rId56" w:history="1">
        <w:r w:rsidRPr="00A23D87">
          <w:rPr>
            <w:rStyle w:val="Hyperlink"/>
          </w:rPr>
          <w:t>Improving the health and lives of people living in slums.</w:t>
        </w:r>
      </w:hyperlink>
      <w:r w:rsidRPr="00A23D87">
        <w:t xml:space="preserve">[Ann N Y </w:t>
      </w:r>
      <w:proofErr w:type="spellStart"/>
      <w:r w:rsidRPr="00A23D87">
        <w:t>Acad</w:t>
      </w:r>
      <w:proofErr w:type="spellEnd"/>
      <w:r w:rsidRPr="00A23D87">
        <w:t xml:space="preserve"> Sci. 2008] </w:t>
      </w:r>
    </w:p>
    <w:p w:rsidR="00A23D87" w:rsidRPr="00A23D87" w:rsidRDefault="00A23D87" w:rsidP="00A23D87">
      <w:pPr>
        <w:numPr>
          <w:ilvl w:val="0"/>
          <w:numId w:val="3"/>
        </w:numPr>
      </w:pPr>
      <w:hyperlink r:id="rId57" w:history="1">
        <w:r w:rsidRPr="00A23D87">
          <w:rPr>
            <w:rStyle w:val="Hyperlink"/>
          </w:rPr>
          <w:t>Female migrants in an urban setting -- the dimensions of spatial / physical adaptation. The case of Dhaka.</w:t>
        </w:r>
      </w:hyperlink>
      <w:r w:rsidRPr="00A23D87">
        <w:t xml:space="preserve">[Habitat Int. 1996] </w:t>
      </w:r>
    </w:p>
    <w:p w:rsidR="00A23D87" w:rsidRPr="00A23D87" w:rsidRDefault="00A23D87" w:rsidP="00A23D87">
      <w:pPr>
        <w:numPr>
          <w:ilvl w:val="0"/>
          <w:numId w:val="3"/>
        </w:numPr>
      </w:pPr>
      <w:hyperlink r:id="rId58" w:history="1">
        <w:r w:rsidRPr="00A23D87">
          <w:rPr>
            <w:rStyle w:val="Hyperlink"/>
          </w:rPr>
          <w:t>Dimensions and approaches for Third World city water security.</w:t>
        </w:r>
      </w:hyperlink>
      <w:r w:rsidRPr="00A23D87">
        <w:t>[</w:t>
      </w:r>
      <w:proofErr w:type="spellStart"/>
      <w:r w:rsidRPr="00A23D87">
        <w:t>Philos</w:t>
      </w:r>
      <w:proofErr w:type="spellEnd"/>
      <w:r w:rsidRPr="00A23D87">
        <w:t xml:space="preserve"> Trans R </w:t>
      </w:r>
      <w:proofErr w:type="spellStart"/>
      <w:r w:rsidRPr="00A23D87">
        <w:t>Soc</w:t>
      </w:r>
      <w:proofErr w:type="spellEnd"/>
      <w:r w:rsidRPr="00A23D87">
        <w:t xml:space="preserve"> </w:t>
      </w:r>
      <w:proofErr w:type="spellStart"/>
      <w:r w:rsidRPr="00A23D87">
        <w:t>Lond</w:t>
      </w:r>
      <w:proofErr w:type="spellEnd"/>
      <w:r w:rsidRPr="00A23D87">
        <w:t xml:space="preserve"> B Biol...] </w:t>
      </w:r>
    </w:p>
    <w:p w:rsidR="00A23D87" w:rsidRPr="00A23D87" w:rsidRDefault="00A23D87" w:rsidP="00A23D87">
      <w:pPr>
        <w:numPr>
          <w:ilvl w:val="0"/>
          <w:numId w:val="3"/>
        </w:numPr>
      </w:pPr>
      <w:hyperlink r:id="rId59" w:history="1">
        <w:r w:rsidRPr="00A23D87">
          <w:rPr>
            <w:rStyle w:val="Hyperlink"/>
          </w:rPr>
          <w:t>Urbanization and tropical health--then and now.</w:t>
        </w:r>
      </w:hyperlink>
      <w:r w:rsidRPr="00A23D87">
        <w:t xml:space="preserve">[Ann Trop Med </w:t>
      </w:r>
      <w:proofErr w:type="spellStart"/>
      <w:r w:rsidRPr="00A23D87">
        <w:t>Parasitol</w:t>
      </w:r>
      <w:proofErr w:type="spellEnd"/>
      <w:r w:rsidRPr="00A23D87">
        <w:t xml:space="preserve">. 2006] </w:t>
      </w:r>
    </w:p>
    <w:p w:rsidR="00A23D87" w:rsidRPr="00A23D87" w:rsidRDefault="00A23D87" w:rsidP="00A23D87">
      <w:hyperlink r:id="rId60" w:history="1">
        <w:r w:rsidRPr="00A23D87">
          <w:rPr>
            <w:rStyle w:val="Hyperlink"/>
          </w:rPr>
          <w:t>See reviews...</w:t>
        </w:r>
      </w:hyperlink>
      <w:hyperlink r:id="rId61" w:history="1">
        <w:r w:rsidRPr="00A23D87">
          <w:rPr>
            <w:rStyle w:val="Hyperlink"/>
          </w:rPr>
          <w:t>See all...</w:t>
        </w:r>
      </w:hyperlink>
      <w:r w:rsidRPr="00A23D87">
        <w:t xml:space="preserve"> </w:t>
      </w:r>
    </w:p>
    <w:p w:rsidR="00A23D87" w:rsidRPr="00A23D87" w:rsidRDefault="00A23D87" w:rsidP="00A23D87">
      <w:pPr>
        <w:rPr>
          <w:b/>
          <w:bCs/>
        </w:rPr>
      </w:pPr>
      <w:r w:rsidRPr="00A23D87">
        <w:rPr>
          <w:b/>
          <w:bCs/>
        </w:rPr>
        <w:t>Links</w:t>
      </w:r>
    </w:p>
    <w:p w:rsidR="00A23D87" w:rsidRPr="00A23D87" w:rsidRDefault="00A23D87" w:rsidP="00A23D87">
      <w:pPr>
        <w:numPr>
          <w:ilvl w:val="0"/>
          <w:numId w:val="4"/>
        </w:numPr>
      </w:pPr>
      <w:hyperlink r:id="rId62" w:history="1">
        <w:r w:rsidRPr="00A23D87">
          <w:rPr>
            <w:rStyle w:val="Hyperlink"/>
          </w:rPr>
          <w:t>PubMed</w:t>
        </w:r>
      </w:hyperlink>
      <w:r w:rsidRPr="00A23D87">
        <w:t xml:space="preserve"> </w:t>
      </w:r>
    </w:p>
    <w:p w:rsidR="00A23D87" w:rsidRPr="00A23D87" w:rsidRDefault="00A23D87" w:rsidP="00A23D87">
      <w:pPr>
        <w:numPr>
          <w:ilvl w:val="0"/>
          <w:numId w:val="4"/>
        </w:numPr>
      </w:pPr>
      <w:hyperlink r:id="rId63" w:history="1">
        <w:r w:rsidRPr="00A23D87">
          <w:rPr>
            <w:rStyle w:val="Hyperlink"/>
          </w:rPr>
          <w:t>Taxonomy</w:t>
        </w:r>
      </w:hyperlink>
      <w:r w:rsidRPr="00A23D87">
        <w:t xml:space="preserve"> </w:t>
      </w:r>
    </w:p>
    <w:p w:rsidR="00A23D87" w:rsidRPr="00A23D87" w:rsidRDefault="00A23D87" w:rsidP="00A23D87">
      <w:pPr>
        <w:rPr>
          <w:b/>
          <w:bCs/>
        </w:rPr>
      </w:pPr>
      <w:r w:rsidRPr="00A23D87">
        <w:rPr>
          <w:b/>
          <w:bCs/>
        </w:rPr>
        <w:t>Recent Activity</w:t>
      </w:r>
    </w:p>
    <w:bookmarkEnd w:id="0"/>
    <w:p w:rsidR="00A23D87" w:rsidRPr="00A23D87" w:rsidRDefault="00A23D87" w:rsidP="00A23D87">
      <w:r w:rsidRPr="00A23D87">
        <w:fldChar w:fldCharType="begin"/>
      </w:r>
      <w:r w:rsidRPr="00A23D87">
        <w:instrText xml:space="preserve"> HYPERLINK "javascript:historyDisplayState('ClearHT')" </w:instrText>
      </w:r>
      <w:r w:rsidRPr="00A23D87">
        <w:fldChar w:fldCharType="separate"/>
      </w:r>
      <w:proofErr w:type="spellStart"/>
      <w:r w:rsidRPr="00A23D87">
        <w:rPr>
          <w:rStyle w:val="Hyperlink"/>
        </w:rPr>
        <w:t>Clear</w:t>
      </w:r>
      <w:r w:rsidRPr="00A23D87">
        <w:fldChar w:fldCharType="end"/>
      </w:r>
      <w:hyperlink r:id="rId64" w:history="1">
        <w:r w:rsidRPr="00A23D87">
          <w:rPr>
            <w:rStyle w:val="Hyperlink"/>
          </w:rPr>
          <w:t>Turn</w:t>
        </w:r>
        <w:proofErr w:type="spellEnd"/>
        <w:r w:rsidRPr="00A23D87">
          <w:rPr>
            <w:rStyle w:val="Hyperlink"/>
          </w:rPr>
          <w:t xml:space="preserve"> Off</w:t>
        </w:r>
      </w:hyperlink>
      <w:r w:rsidRPr="00A23D87">
        <w:t xml:space="preserve"> </w:t>
      </w:r>
    </w:p>
    <w:p w:rsidR="00A23D87" w:rsidRPr="00A23D87" w:rsidRDefault="00A23D87" w:rsidP="00A23D87">
      <w:pPr>
        <w:numPr>
          <w:ilvl w:val="0"/>
          <w:numId w:val="5"/>
        </w:numPr>
      </w:pPr>
      <w:hyperlink r:id="rId65" w:history="1">
        <w:r w:rsidRPr="00A23D87">
          <w:rPr>
            <w:rStyle w:val="Hyperlink"/>
          </w:rPr>
          <w:t>Urbanization and Slum Formation</w:t>
        </w:r>
      </w:hyperlink>
    </w:p>
    <w:p w:rsidR="00A23D87" w:rsidRPr="00A23D87" w:rsidRDefault="00A23D87" w:rsidP="00A23D87">
      <w:r w:rsidRPr="00A23D87">
        <w:t>Urbanization and Slum Formation</w:t>
      </w:r>
    </w:p>
    <w:p w:rsidR="00A23D87" w:rsidRPr="00A23D87" w:rsidRDefault="00A23D87" w:rsidP="00A23D87">
      <w:r w:rsidRPr="00A23D87">
        <w:t xml:space="preserve">Journal of Urban </w:t>
      </w:r>
      <w:proofErr w:type="gramStart"/>
      <w:r w:rsidRPr="00A23D87">
        <w:t>Health :</w:t>
      </w:r>
      <w:proofErr w:type="gramEnd"/>
      <w:r w:rsidRPr="00A23D87">
        <w:t xml:space="preserve"> Bulletin of the New York Academy of Medicine. 2007 May; 84(</w:t>
      </w:r>
      <w:proofErr w:type="spellStart"/>
      <w:r w:rsidRPr="00A23D87">
        <w:t>Suppl</w:t>
      </w:r>
      <w:proofErr w:type="spellEnd"/>
      <w:r w:rsidRPr="00A23D87">
        <w:t xml:space="preserve"> 1)27</w:t>
      </w:r>
    </w:p>
    <w:p w:rsidR="00A23D87" w:rsidRPr="00A23D87" w:rsidRDefault="00A23D87" w:rsidP="00A23D87">
      <w:hyperlink r:id="rId66" w:history="1">
        <w:r w:rsidRPr="00A23D87">
          <w:rPr>
            <w:rStyle w:val="Hyperlink"/>
          </w:rPr>
          <w:t>See more...</w:t>
        </w:r>
      </w:hyperlink>
      <w:r w:rsidRPr="00A23D87">
        <w:t xml:space="preserve"> </w:t>
      </w:r>
    </w:p>
    <w:p w:rsidR="00A23D87" w:rsidRPr="00A23D87" w:rsidRDefault="00A23D87" w:rsidP="00A23D87">
      <w:hyperlink r:id="rId67" w:tgtFrame="_blank" w:history="1">
        <w:r w:rsidRPr="00A23D87">
          <w:rPr>
            <w:rStyle w:val="Hyperlink"/>
          </w:rPr>
          <w:t>Support Center</w:t>
        </w:r>
      </w:hyperlink>
      <w:r w:rsidRPr="00A23D87">
        <w:t xml:space="preserve"> </w:t>
      </w:r>
      <w:hyperlink r:id="rId68" w:tgtFrame="_blank" w:history="1">
        <w:r w:rsidRPr="00A23D87">
          <w:rPr>
            <w:rStyle w:val="Hyperlink"/>
          </w:rPr>
          <w:t>Support Center</w:t>
        </w:r>
      </w:hyperlink>
      <w:r w:rsidRPr="00A23D87">
        <w:t xml:space="preserve"> </w:t>
      </w:r>
    </w:p>
    <w:p w:rsidR="007A2ED0" w:rsidRDefault="00A23D87">
      <w:bookmarkStart w:id="1" w:name="_GoBack"/>
      <w:bookmarkEnd w:id="1"/>
    </w:p>
    <w:sectPr w:rsidR="007A2E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5161D"/>
    <w:multiLevelType w:val="multilevel"/>
    <w:tmpl w:val="FAF06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E184C94"/>
    <w:multiLevelType w:val="multilevel"/>
    <w:tmpl w:val="128CD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2E41A68"/>
    <w:multiLevelType w:val="multilevel"/>
    <w:tmpl w:val="86087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58D0C14"/>
    <w:multiLevelType w:val="multilevel"/>
    <w:tmpl w:val="01EC3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1384AEF"/>
    <w:multiLevelType w:val="multilevel"/>
    <w:tmpl w:val="DD7A1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5D68"/>
    <w:rsid w:val="006543CA"/>
    <w:rsid w:val="007F7560"/>
    <w:rsid w:val="00A23D87"/>
    <w:rsid w:val="00AC5D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23D87"/>
    <w:rPr>
      <w:color w:val="0000FF" w:themeColor="hyperlink"/>
      <w:u w:val="single"/>
    </w:rPr>
  </w:style>
  <w:style w:type="paragraph" w:styleId="BalloonText">
    <w:name w:val="Balloon Text"/>
    <w:basedOn w:val="Normal"/>
    <w:link w:val="BalloonTextChar"/>
    <w:uiPriority w:val="99"/>
    <w:semiHidden/>
    <w:unhideWhenUsed/>
    <w:rsid w:val="00A23D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3D8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23D87"/>
    <w:rPr>
      <w:color w:val="0000FF" w:themeColor="hyperlink"/>
      <w:u w:val="single"/>
    </w:rPr>
  </w:style>
  <w:style w:type="paragraph" w:styleId="BalloonText">
    <w:name w:val="Balloon Text"/>
    <w:basedOn w:val="Normal"/>
    <w:link w:val="BalloonTextChar"/>
    <w:uiPriority w:val="99"/>
    <w:semiHidden/>
    <w:unhideWhenUsed/>
    <w:rsid w:val="00A23D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23D8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874084">
      <w:bodyDiv w:val="1"/>
      <w:marLeft w:val="0"/>
      <w:marRight w:val="0"/>
      <w:marTop w:val="0"/>
      <w:marBottom w:val="0"/>
      <w:divBdr>
        <w:top w:val="none" w:sz="0" w:space="0" w:color="auto"/>
        <w:left w:val="none" w:sz="0" w:space="0" w:color="auto"/>
        <w:bottom w:val="none" w:sz="0" w:space="0" w:color="auto"/>
        <w:right w:val="none" w:sz="0" w:space="0" w:color="auto"/>
      </w:divBdr>
      <w:divsChild>
        <w:div w:id="952251936">
          <w:marLeft w:val="0"/>
          <w:marRight w:val="0"/>
          <w:marTop w:val="0"/>
          <w:marBottom w:val="0"/>
          <w:divBdr>
            <w:top w:val="none" w:sz="0" w:space="0" w:color="auto"/>
            <w:left w:val="none" w:sz="0" w:space="0" w:color="auto"/>
            <w:bottom w:val="none" w:sz="0" w:space="0" w:color="auto"/>
            <w:right w:val="none" w:sz="0" w:space="0" w:color="auto"/>
          </w:divBdr>
          <w:divsChild>
            <w:div w:id="246381832">
              <w:marLeft w:val="0"/>
              <w:marRight w:val="0"/>
              <w:marTop w:val="0"/>
              <w:marBottom w:val="0"/>
              <w:divBdr>
                <w:top w:val="none" w:sz="0" w:space="0" w:color="auto"/>
                <w:left w:val="none" w:sz="0" w:space="0" w:color="auto"/>
                <w:bottom w:val="none" w:sz="0" w:space="0" w:color="auto"/>
                <w:right w:val="none" w:sz="0" w:space="0" w:color="auto"/>
              </w:divBdr>
              <w:divsChild>
                <w:div w:id="1661889103">
                  <w:marLeft w:val="0"/>
                  <w:marRight w:val="0"/>
                  <w:marTop w:val="0"/>
                  <w:marBottom w:val="0"/>
                  <w:divBdr>
                    <w:top w:val="none" w:sz="0" w:space="0" w:color="auto"/>
                    <w:left w:val="none" w:sz="0" w:space="0" w:color="auto"/>
                    <w:bottom w:val="none" w:sz="0" w:space="0" w:color="auto"/>
                    <w:right w:val="none" w:sz="0" w:space="0" w:color="auto"/>
                  </w:divBdr>
                  <w:divsChild>
                    <w:div w:id="1502041076">
                      <w:marLeft w:val="0"/>
                      <w:marRight w:val="0"/>
                      <w:marTop w:val="0"/>
                      <w:marBottom w:val="0"/>
                      <w:divBdr>
                        <w:top w:val="none" w:sz="0" w:space="0" w:color="auto"/>
                        <w:left w:val="none" w:sz="0" w:space="0" w:color="auto"/>
                        <w:bottom w:val="none" w:sz="0" w:space="0" w:color="auto"/>
                        <w:right w:val="none" w:sz="0" w:space="0" w:color="auto"/>
                      </w:divBdr>
                      <w:divsChild>
                        <w:div w:id="764761979">
                          <w:marLeft w:val="0"/>
                          <w:marRight w:val="0"/>
                          <w:marTop w:val="0"/>
                          <w:marBottom w:val="0"/>
                          <w:divBdr>
                            <w:top w:val="none" w:sz="0" w:space="0" w:color="auto"/>
                            <w:left w:val="none" w:sz="0" w:space="0" w:color="auto"/>
                            <w:bottom w:val="none" w:sz="0" w:space="0" w:color="auto"/>
                            <w:right w:val="none" w:sz="0" w:space="0" w:color="auto"/>
                          </w:divBdr>
                          <w:divsChild>
                            <w:div w:id="1899700622">
                              <w:marLeft w:val="0"/>
                              <w:marRight w:val="0"/>
                              <w:marTop w:val="0"/>
                              <w:marBottom w:val="0"/>
                              <w:divBdr>
                                <w:top w:val="none" w:sz="0" w:space="0" w:color="auto"/>
                                <w:left w:val="none" w:sz="0" w:space="0" w:color="auto"/>
                                <w:bottom w:val="none" w:sz="0" w:space="0" w:color="auto"/>
                                <w:right w:val="none" w:sz="0" w:space="0" w:color="auto"/>
                              </w:divBdr>
                              <w:divsChild>
                                <w:div w:id="586308467">
                                  <w:marLeft w:val="0"/>
                                  <w:marRight w:val="0"/>
                                  <w:marTop w:val="0"/>
                                  <w:marBottom w:val="0"/>
                                  <w:divBdr>
                                    <w:top w:val="none" w:sz="0" w:space="0" w:color="auto"/>
                                    <w:left w:val="none" w:sz="0" w:space="0" w:color="auto"/>
                                    <w:bottom w:val="none" w:sz="0" w:space="0" w:color="auto"/>
                                    <w:right w:val="none" w:sz="0" w:space="0" w:color="auto"/>
                                  </w:divBdr>
                                </w:div>
                              </w:divsChild>
                            </w:div>
                            <w:div w:id="984119546">
                              <w:marLeft w:val="0"/>
                              <w:marRight w:val="0"/>
                              <w:marTop w:val="0"/>
                              <w:marBottom w:val="0"/>
                              <w:divBdr>
                                <w:top w:val="none" w:sz="0" w:space="0" w:color="auto"/>
                                <w:left w:val="none" w:sz="0" w:space="0" w:color="auto"/>
                                <w:bottom w:val="none" w:sz="0" w:space="0" w:color="auto"/>
                                <w:right w:val="none" w:sz="0" w:space="0" w:color="auto"/>
                              </w:divBdr>
                              <w:divsChild>
                                <w:div w:id="1539930672">
                                  <w:marLeft w:val="0"/>
                                  <w:marRight w:val="0"/>
                                  <w:marTop w:val="0"/>
                                  <w:marBottom w:val="0"/>
                                  <w:divBdr>
                                    <w:top w:val="none" w:sz="0" w:space="0" w:color="auto"/>
                                    <w:left w:val="none" w:sz="0" w:space="0" w:color="auto"/>
                                    <w:bottom w:val="none" w:sz="0" w:space="0" w:color="auto"/>
                                    <w:right w:val="none" w:sz="0" w:space="0" w:color="auto"/>
                                  </w:divBdr>
                                </w:div>
                              </w:divsChild>
                            </w:div>
                            <w:div w:id="358163566">
                              <w:marLeft w:val="0"/>
                              <w:marRight w:val="0"/>
                              <w:marTop w:val="0"/>
                              <w:marBottom w:val="0"/>
                              <w:divBdr>
                                <w:top w:val="none" w:sz="0" w:space="0" w:color="auto"/>
                                <w:left w:val="none" w:sz="0" w:space="0" w:color="auto"/>
                                <w:bottom w:val="none" w:sz="0" w:space="0" w:color="auto"/>
                                <w:right w:val="none" w:sz="0" w:space="0" w:color="auto"/>
                              </w:divBdr>
                              <w:divsChild>
                                <w:div w:id="423188003">
                                  <w:marLeft w:val="0"/>
                                  <w:marRight w:val="0"/>
                                  <w:marTop w:val="0"/>
                                  <w:marBottom w:val="0"/>
                                  <w:divBdr>
                                    <w:top w:val="none" w:sz="0" w:space="0" w:color="auto"/>
                                    <w:left w:val="none" w:sz="0" w:space="0" w:color="auto"/>
                                    <w:bottom w:val="none" w:sz="0" w:space="0" w:color="auto"/>
                                    <w:right w:val="none" w:sz="0" w:space="0" w:color="auto"/>
                                  </w:divBdr>
                                  <w:divsChild>
                                    <w:div w:id="909000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897636">
                          <w:marLeft w:val="0"/>
                          <w:marRight w:val="0"/>
                          <w:marTop w:val="0"/>
                          <w:marBottom w:val="0"/>
                          <w:divBdr>
                            <w:top w:val="none" w:sz="0" w:space="0" w:color="auto"/>
                            <w:left w:val="none" w:sz="0" w:space="0" w:color="auto"/>
                            <w:bottom w:val="none" w:sz="0" w:space="0" w:color="auto"/>
                            <w:right w:val="none" w:sz="0" w:space="0" w:color="auto"/>
                          </w:divBdr>
                          <w:divsChild>
                            <w:div w:id="516237678">
                              <w:marLeft w:val="0"/>
                              <w:marRight w:val="0"/>
                              <w:marTop w:val="0"/>
                              <w:marBottom w:val="0"/>
                              <w:divBdr>
                                <w:top w:val="none" w:sz="0" w:space="0" w:color="auto"/>
                                <w:left w:val="none" w:sz="0" w:space="0" w:color="auto"/>
                                <w:bottom w:val="none" w:sz="0" w:space="0" w:color="auto"/>
                                <w:right w:val="none" w:sz="0" w:space="0" w:color="auto"/>
                              </w:divBdr>
                            </w:div>
                            <w:div w:id="2091147657">
                              <w:marLeft w:val="0"/>
                              <w:marRight w:val="0"/>
                              <w:marTop w:val="0"/>
                              <w:marBottom w:val="0"/>
                              <w:divBdr>
                                <w:top w:val="none" w:sz="0" w:space="0" w:color="auto"/>
                                <w:left w:val="none" w:sz="0" w:space="0" w:color="auto"/>
                                <w:bottom w:val="none" w:sz="0" w:space="0" w:color="auto"/>
                                <w:right w:val="none" w:sz="0" w:space="0" w:color="auto"/>
                              </w:divBdr>
                            </w:div>
                            <w:div w:id="1673265762">
                              <w:marLeft w:val="0"/>
                              <w:marRight w:val="0"/>
                              <w:marTop w:val="0"/>
                              <w:marBottom w:val="0"/>
                              <w:divBdr>
                                <w:top w:val="none" w:sz="0" w:space="0" w:color="auto"/>
                                <w:left w:val="none" w:sz="0" w:space="0" w:color="auto"/>
                                <w:bottom w:val="none" w:sz="0" w:space="0" w:color="auto"/>
                                <w:right w:val="none" w:sz="0" w:space="0" w:color="auto"/>
                              </w:divBdr>
                            </w:div>
                          </w:divsChild>
                        </w:div>
                        <w:div w:id="992026558">
                          <w:marLeft w:val="0"/>
                          <w:marRight w:val="0"/>
                          <w:marTop w:val="0"/>
                          <w:marBottom w:val="0"/>
                          <w:divBdr>
                            <w:top w:val="none" w:sz="0" w:space="0" w:color="auto"/>
                            <w:left w:val="none" w:sz="0" w:space="0" w:color="auto"/>
                            <w:bottom w:val="none" w:sz="0" w:space="0" w:color="auto"/>
                            <w:right w:val="none" w:sz="0" w:space="0" w:color="auto"/>
                          </w:divBdr>
                          <w:divsChild>
                            <w:div w:id="1389693019">
                              <w:marLeft w:val="0"/>
                              <w:marRight w:val="0"/>
                              <w:marTop w:val="0"/>
                              <w:marBottom w:val="0"/>
                              <w:divBdr>
                                <w:top w:val="none" w:sz="0" w:space="0" w:color="auto"/>
                                <w:left w:val="none" w:sz="0" w:space="0" w:color="auto"/>
                                <w:bottom w:val="none" w:sz="0" w:space="0" w:color="auto"/>
                                <w:right w:val="none" w:sz="0" w:space="0" w:color="auto"/>
                              </w:divBdr>
                            </w:div>
                            <w:div w:id="931337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26908114">
                          <w:marLeft w:val="0"/>
                          <w:marRight w:val="0"/>
                          <w:marTop w:val="0"/>
                          <w:marBottom w:val="0"/>
                          <w:divBdr>
                            <w:top w:val="none" w:sz="0" w:space="0" w:color="auto"/>
                            <w:left w:val="none" w:sz="0" w:space="0" w:color="auto"/>
                            <w:bottom w:val="none" w:sz="0" w:space="0" w:color="auto"/>
                            <w:right w:val="none" w:sz="0" w:space="0" w:color="auto"/>
                          </w:divBdr>
                          <w:divsChild>
                            <w:div w:id="1110510771">
                              <w:marLeft w:val="0"/>
                              <w:marRight w:val="0"/>
                              <w:marTop w:val="0"/>
                              <w:marBottom w:val="0"/>
                              <w:divBdr>
                                <w:top w:val="none" w:sz="0" w:space="0" w:color="auto"/>
                                <w:left w:val="none" w:sz="0" w:space="0" w:color="auto"/>
                                <w:bottom w:val="none" w:sz="0" w:space="0" w:color="auto"/>
                                <w:right w:val="none" w:sz="0" w:space="0" w:color="auto"/>
                              </w:divBdr>
                            </w:div>
                            <w:div w:id="744455168">
                              <w:marLeft w:val="0"/>
                              <w:marRight w:val="0"/>
                              <w:marTop w:val="0"/>
                              <w:marBottom w:val="0"/>
                              <w:divBdr>
                                <w:top w:val="none" w:sz="0" w:space="0" w:color="auto"/>
                                <w:left w:val="none" w:sz="0" w:space="0" w:color="auto"/>
                                <w:bottom w:val="none" w:sz="0" w:space="0" w:color="auto"/>
                                <w:right w:val="none" w:sz="0" w:space="0" w:color="auto"/>
                              </w:divBdr>
                              <w:divsChild>
                                <w:div w:id="825130835">
                                  <w:marLeft w:val="0"/>
                                  <w:marRight w:val="0"/>
                                  <w:marTop w:val="0"/>
                                  <w:marBottom w:val="0"/>
                                  <w:divBdr>
                                    <w:top w:val="none" w:sz="0" w:space="0" w:color="auto"/>
                                    <w:left w:val="none" w:sz="0" w:space="0" w:color="auto"/>
                                    <w:bottom w:val="none" w:sz="0" w:space="0" w:color="auto"/>
                                    <w:right w:val="none" w:sz="0" w:space="0" w:color="auto"/>
                                  </w:divBdr>
                                </w:div>
                                <w:div w:id="652805255">
                                  <w:marLeft w:val="0"/>
                                  <w:marRight w:val="0"/>
                                  <w:marTop w:val="0"/>
                                  <w:marBottom w:val="0"/>
                                  <w:divBdr>
                                    <w:top w:val="none" w:sz="0" w:space="0" w:color="auto"/>
                                    <w:left w:val="none" w:sz="0" w:space="0" w:color="auto"/>
                                    <w:bottom w:val="none" w:sz="0" w:space="0" w:color="auto"/>
                                    <w:right w:val="none" w:sz="0" w:space="0" w:color="auto"/>
                                  </w:divBdr>
                                </w:div>
                                <w:div w:id="764883155">
                                  <w:marLeft w:val="0"/>
                                  <w:marRight w:val="0"/>
                                  <w:marTop w:val="0"/>
                                  <w:marBottom w:val="0"/>
                                  <w:divBdr>
                                    <w:top w:val="none" w:sz="0" w:space="0" w:color="auto"/>
                                    <w:left w:val="none" w:sz="0" w:space="0" w:color="auto"/>
                                    <w:bottom w:val="none" w:sz="0" w:space="0" w:color="auto"/>
                                    <w:right w:val="none" w:sz="0" w:space="0" w:color="auto"/>
                                  </w:divBdr>
                                </w:div>
                              </w:divsChild>
                            </w:div>
                            <w:div w:id="1915316170">
                              <w:marLeft w:val="0"/>
                              <w:marRight w:val="0"/>
                              <w:marTop w:val="0"/>
                              <w:marBottom w:val="0"/>
                              <w:divBdr>
                                <w:top w:val="none" w:sz="0" w:space="0" w:color="auto"/>
                                <w:left w:val="none" w:sz="0" w:space="0" w:color="auto"/>
                                <w:bottom w:val="none" w:sz="0" w:space="0" w:color="auto"/>
                                <w:right w:val="none" w:sz="0" w:space="0" w:color="auto"/>
                              </w:divBdr>
                              <w:divsChild>
                                <w:div w:id="1178807920">
                                  <w:marLeft w:val="0"/>
                                  <w:marRight w:val="0"/>
                                  <w:marTop w:val="0"/>
                                  <w:marBottom w:val="0"/>
                                  <w:divBdr>
                                    <w:top w:val="none" w:sz="0" w:space="0" w:color="auto"/>
                                    <w:left w:val="none" w:sz="0" w:space="0" w:color="auto"/>
                                    <w:bottom w:val="none" w:sz="0" w:space="0" w:color="auto"/>
                                    <w:right w:val="none" w:sz="0" w:space="0" w:color="auto"/>
                                  </w:divBdr>
                                </w:div>
                                <w:div w:id="2055811870">
                                  <w:marLeft w:val="0"/>
                                  <w:marRight w:val="0"/>
                                  <w:marTop w:val="0"/>
                                  <w:marBottom w:val="0"/>
                                  <w:divBdr>
                                    <w:top w:val="none" w:sz="0" w:space="0" w:color="auto"/>
                                    <w:left w:val="none" w:sz="0" w:space="0" w:color="auto"/>
                                    <w:bottom w:val="none" w:sz="0" w:space="0" w:color="auto"/>
                                    <w:right w:val="none" w:sz="0" w:space="0" w:color="auto"/>
                                  </w:divBdr>
                                </w:div>
                                <w:div w:id="402988434">
                                  <w:marLeft w:val="0"/>
                                  <w:marRight w:val="0"/>
                                  <w:marTop w:val="0"/>
                                  <w:marBottom w:val="0"/>
                                  <w:divBdr>
                                    <w:top w:val="none" w:sz="0" w:space="0" w:color="auto"/>
                                    <w:left w:val="none" w:sz="0" w:space="0" w:color="auto"/>
                                    <w:bottom w:val="none" w:sz="0" w:space="0" w:color="auto"/>
                                    <w:right w:val="none" w:sz="0" w:space="0" w:color="auto"/>
                                  </w:divBdr>
                                </w:div>
                              </w:divsChild>
                            </w:div>
                            <w:div w:id="1154680112">
                              <w:marLeft w:val="0"/>
                              <w:marRight w:val="0"/>
                              <w:marTop w:val="0"/>
                              <w:marBottom w:val="0"/>
                              <w:divBdr>
                                <w:top w:val="none" w:sz="0" w:space="0" w:color="auto"/>
                                <w:left w:val="none" w:sz="0" w:space="0" w:color="auto"/>
                                <w:bottom w:val="none" w:sz="0" w:space="0" w:color="auto"/>
                                <w:right w:val="none" w:sz="0" w:space="0" w:color="auto"/>
                              </w:divBdr>
                              <w:divsChild>
                                <w:div w:id="1589727263">
                                  <w:marLeft w:val="0"/>
                                  <w:marRight w:val="0"/>
                                  <w:marTop w:val="0"/>
                                  <w:marBottom w:val="0"/>
                                  <w:divBdr>
                                    <w:top w:val="none" w:sz="0" w:space="0" w:color="auto"/>
                                    <w:left w:val="none" w:sz="0" w:space="0" w:color="auto"/>
                                    <w:bottom w:val="none" w:sz="0" w:space="0" w:color="auto"/>
                                    <w:right w:val="none" w:sz="0" w:space="0" w:color="auto"/>
                                  </w:divBdr>
                                </w:div>
                                <w:div w:id="126895680">
                                  <w:marLeft w:val="0"/>
                                  <w:marRight w:val="0"/>
                                  <w:marTop w:val="0"/>
                                  <w:marBottom w:val="0"/>
                                  <w:divBdr>
                                    <w:top w:val="none" w:sz="0" w:space="0" w:color="auto"/>
                                    <w:left w:val="none" w:sz="0" w:space="0" w:color="auto"/>
                                    <w:bottom w:val="none" w:sz="0" w:space="0" w:color="auto"/>
                                    <w:right w:val="none" w:sz="0" w:space="0" w:color="auto"/>
                                  </w:divBdr>
                                </w:div>
                                <w:div w:id="65334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4070077">
                          <w:marLeft w:val="0"/>
                          <w:marRight w:val="0"/>
                          <w:marTop w:val="0"/>
                          <w:marBottom w:val="0"/>
                          <w:divBdr>
                            <w:top w:val="none" w:sz="0" w:space="0" w:color="auto"/>
                            <w:left w:val="none" w:sz="0" w:space="0" w:color="auto"/>
                            <w:bottom w:val="none" w:sz="0" w:space="0" w:color="auto"/>
                            <w:right w:val="none" w:sz="0" w:space="0" w:color="auto"/>
                          </w:divBdr>
                          <w:divsChild>
                            <w:div w:id="1475638628">
                              <w:marLeft w:val="0"/>
                              <w:marRight w:val="0"/>
                              <w:marTop w:val="0"/>
                              <w:marBottom w:val="0"/>
                              <w:divBdr>
                                <w:top w:val="none" w:sz="0" w:space="0" w:color="auto"/>
                                <w:left w:val="none" w:sz="0" w:space="0" w:color="auto"/>
                                <w:bottom w:val="none" w:sz="0" w:space="0" w:color="auto"/>
                                <w:right w:val="none" w:sz="0" w:space="0" w:color="auto"/>
                              </w:divBdr>
                            </w:div>
                            <w:div w:id="1490174716">
                              <w:marLeft w:val="0"/>
                              <w:marRight w:val="0"/>
                              <w:marTop w:val="0"/>
                              <w:marBottom w:val="0"/>
                              <w:divBdr>
                                <w:top w:val="none" w:sz="0" w:space="0" w:color="auto"/>
                                <w:left w:val="none" w:sz="0" w:space="0" w:color="auto"/>
                                <w:bottom w:val="none" w:sz="0" w:space="0" w:color="auto"/>
                                <w:right w:val="none" w:sz="0" w:space="0" w:color="auto"/>
                              </w:divBdr>
                              <w:divsChild>
                                <w:div w:id="731806106">
                                  <w:marLeft w:val="0"/>
                                  <w:marRight w:val="0"/>
                                  <w:marTop w:val="0"/>
                                  <w:marBottom w:val="0"/>
                                  <w:divBdr>
                                    <w:top w:val="none" w:sz="0" w:space="0" w:color="auto"/>
                                    <w:left w:val="none" w:sz="0" w:space="0" w:color="auto"/>
                                    <w:bottom w:val="none" w:sz="0" w:space="0" w:color="auto"/>
                                    <w:right w:val="none" w:sz="0" w:space="0" w:color="auto"/>
                                  </w:divBdr>
                                </w:div>
                                <w:div w:id="487478056">
                                  <w:marLeft w:val="0"/>
                                  <w:marRight w:val="0"/>
                                  <w:marTop w:val="0"/>
                                  <w:marBottom w:val="0"/>
                                  <w:divBdr>
                                    <w:top w:val="none" w:sz="0" w:space="0" w:color="auto"/>
                                    <w:left w:val="none" w:sz="0" w:space="0" w:color="auto"/>
                                    <w:bottom w:val="none" w:sz="0" w:space="0" w:color="auto"/>
                                    <w:right w:val="none" w:sz="0" w:space="0" w:color="auto"/>
                                  </w:divBdr>
                                </w:div>
                                <w:div w:id="1351221959">
                                  <w:marLeft w:val="0"/>
                                  <w:marRight w:val="0"/>
                                  <w:marTop w:val="0"/>
                                  <w:marBottom w:val="0"/>
                                  <w:divBdr>
                                    <w:top w:val="none" w:sz="0" w:space="0" w:color="auto"/>
                                    <w:left w:val="none" w:sz="0" w:space="0" w:color="auto"/>
                                    <w:bottom w:val="none" w:sz="0" w:space="0" w:color="auto"/>
                                    <w:right w:val="none" w:sz="0" w:space="0" w:color="auto"/>
                                  </w:divBdr>
                                </w:div>
                                <w:div w:id="531771017">
                                  <w:marLeft w:val="0"/>
                                  <w:marRight w:val="0"/>
                                  <w:marTop w:val="0"/>
                                  <w:marBottom w:val="0"/>
                                  <w:divBdr>
                                    <w:top w:val="none" w:sz="0" w:space="0" w:color="auto"/>
                                    <w:left w:val="none" w:sz="0" w:space="0" w:color="auto"/>
                                    <w:bottom w:val="none" w:sz="0" w:space="0" w:color="auto"/>
                                    <w:right w:val="none" w:sz="0" w:space="0" w:color="auto"/>
                                  </w:divBdr>
                                </w:div>
                              </w:divsChild>
                            </w:div>
                            <w:div w:id="34081300">
                              <w:marLeft w:val="0"/>
                              <w:marRight w:val="0"/>
                              <w:marTop w:val="0"/>
                              <w:marBottom w:val="0"/>
                              <w:divBdr>
                                <w:top w:val="none" w:sz="0" w:space="0" w:color="auto"/>
                                <w:left w:val="none" w:sz="0" w:space="0" w:color="auto"/>
                                <w:bottom w:val="none" w:sz="0" w:space="0" w:color="auto"/>
                                <w:right w:val="none" w:sz="0" w:space="0" w:color="auto"/>
                              </w:divBdr>
                              <w:divsChild>
                                <w:div w:id="1476332744">
                                  <w:marLeft w:val="0"/>
                                  <w:marRight w:val="0"/>
                                  <w:marTop w:val="0"/>
                                  <w:marBottom w:val="0"/>
                                  <w:divBdr>
                                    <w:top w:val="none" w:sz="0" w:space="0" w:color="auto"/>
                                    <w:left w:val="none" w:sz="0" w:space="0" w:color="auto"/>
                                    <w:bottom w:val="none" w:sz="0" w:space="0" w:color="auto"/>
                                    <w:right w:val="none" w:sz="0" w:space="0" w:color="auto"/>
                                  </w:divBdr>
                                </w:div>
                                <w:div w:id="1953852562">
                                  <w:marLeft w:val="0"/>
                                  <w:marRight w:val="0"/>
                                  <w:marTop w:val="0"/>
                                  <w:marBottom w:val="0"/>
                                  <w:divBdr>
                                    <w:top w:val="none" w:sz="0" w:space="0" w:color="auto"/>
                                    <w:left w:val="none" w:sz="0" w:space="0" w:color="auto"/>
                                    <w:bottom w:val="none" w:sz="0" w:space="0" w:color="auto"/>
                                    <w:right w:val="none" w:sz="0" w:space="0" w:color="auto"/>
                                  </w:divBdr>
                                </w:div>
                                <w:div w:id="923033510">
                                  <w:marLeft w:val="0"/>
                                  <w:marRight w:val="0"/>
                                  <w:marTop w:val="0"/>
                                  <w:marBottom w:val="0"/>
                                  <w:divBdr>
                                    <w:top w:val="none" w:sz="0" w:space="0" w:color="auto"/>
                                    <w:left w:val="none" w:sz="0" w:space="0" w:color="auto"/>
                                    <w:bottom w:val="none" w:sz="0" w:space="0" w:color="auto"/>
                                    <w:right w:val="none" w:sz="0" w:space="0" w:color="auto"/>
                                  </w:divBdr>
                                </w:div>
                              </w:divsChild>
                            </w:div>
                            <w:div w:id="6778489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3572483">
                          <w:marLeft w:val="0"/>
                          <w:marRight w:val="0"/>
                          <w:marTop w:val="0"/>
                          <w:marBottom w:val="0"/>
                          <w:divBdr>
                            <w:top w:val="none" w:sz="0" w:space="0" w:color="auto"/>
                            <w:left w:val="none" w:sz="0" w:space="0" w:color="auto"/>
                            <w:bottom w:val="none" w:sz="0" w:space="0" w:color="auto"/>
                            <w:right w:val="none" w:sz="0" w:space="0" w:color="auto"/>
                          </w:divBdr>
                          <w:divsChild>
                            <w:div w:id="871650460">
                              <w:marLeft w:val="0"/>
                              <w:marRight w:val="0"/>
                              <w:marTop w:val="0"/>
                              <w:marBottom w:val="0"/>
                              <w:divBdr>
                                <w:top w:val="none" w:sz="0" w:space="0" w:color="auto"/>
                                <w:left w:val="none" w:sz="0" w:space="0" w:color="auto"/>
                                <w:bottom w:val="none" w:sz="0" w:space="0" w:color="auto"/>
                                <w:right w:val="none" w:sz="0" w:space="0" w:color="auto"/>
                              </w:divBdr>
                            </w:div>
                            <w:div w:id="134302929">
                              <w:blockQuote w:val="1"/>
                              <w:marLeft w:val="720"/>
                              <w:marRight w:val="720"/>
                              <w:marTop w:val="100"/>
                              <w:marBottom w:val="100"/>
                              <w:divBdr>
                                <w:top w:val="none" w:sz="0" w:space="0" w:color="auto"/>
                                <w:left w:val="none" w:sz="0" w:space="0" w:color="auto"/>
                                <w:bottom w:val="none" w:sz="0" w:space="0" w:color="auto"/>
                                <w:right w:val="none" w:sz="0" w:space="0" w:color="auto"/>
                              </w:divBdr>
                            </w:div>
                            <w:div w:id="1875772253">
                              <w:marLeft w:val="0"/>
                              <w:marRight w:val="0"/>
                              <w:marTop w:val="0"/>
                              <w:marBottom w:val="0"/>
                              <w:divBdr>
                                <w:top w:val="none" w:sz="0" w:space="0" w:color="auto"/>
                                <w:left w:val="none" w:sz="0" w:space="0" w:color="auto"/>
                                <w:bottom w:val="none" w:sz="0" w:space="0" w:color="auto"/>
                                <w:right w:val="none" w:sz="0" w:space="0" w:color="auto"/>
                              </w:divBdr>
                              <w:divsChild>
                                <w:div w:id="173148913">
                                  <w:marLeft w:val="0"/>
                                  <w:marRight w:val="0"/>
                                  <w:marTop w:val="0"/>
                                  <w:marBottom w:val="0"/>
                                  <w:divBdr>
                                    <w:top w:val="none" w:sz="0" w:space="0" w:color="auto"/>
                                    <w:left w:val="none" w:sz="0" w:space="0" w:color="auto"/>
                                    <w:bottom w:val="none" w:sz="0" w:space="0" w:color="auto"/>
                                    <w:right w:val="none" w:sz="0" w:space="0" w:color="auto"/>
                                  </w:divBdr>
                                </w:div>
                                <w:div w:id="940529952">
                                  <w:marLeft w:val="0"/>
                                  <w:marRight w:val="0"/>
                                  <w:marTop w:val="0"/>
                                  <w:marBottom w:val="0"/>
                                  <w:divBdr>
                                    <w:top w:val="none" w:sz="0" w:space="0" w:color="auto"/>
                                    <w:left w:val="none" w:sz="0" w:space="0" w:color="auto"/>
                                    <w:bottom w:val="none" w:sz="0" w:space="0" w:color="auto"/>
                                    <w:right w:val="none" w:sz="0" w:space="0" w:color="auto"/>
                                  </w:divBdr>
                                </w:div>
                                <w:div w:id="103064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978656">
                          <w:marLeft w:val="0"/>
                          <w:marRight w:val="0"/>
                          <w:marTop w:val="0"/>
                          <w:marBottom w:val="0"/>
                          <w:divBdr>
                            <w:top w:val="none" w:sz="0" w:space="0" w:color="auto"/>
                            <w:left w:val="none" w:sz="0" w:space="0" w:color="auto"/>
                            <w:bottom w:val="none" w:sz="0" w:space="0" w:color="auto"/>
                            <w:right w:val="none" w:sz="0" w:space="0" w:color="auto"/>
                          </w:divBdr>
                          <w:divsChild>
                            <w:div w:id="732384865">
                              <w:marLeft w:val="0"/>
                              <w:marRight w:val="0"/>
                              <w:marTop w:val="0"/>
                              <w:marBottom w:val="0"/>
                              <w:divBdr>
                                <w:top w:val="none" w:sz="0" w:space="0" w:color="auto"/>
                                <w:left w:val="none" w:sz="0" w:space="0" w:color="auto"/>
                                <w:bottom w:val="none" w:sz="0" w:space="0" w:color="auto"/>
                                <w:right w:val="none" w:sz="0" w:space="0" w:color="auto"/>
                              </w:divBdr>
                            </w:div>
                            <w:div w:id="1837263127">
                              <w:marLeft w:val="0"/>
                              <w:marRight w:val="0"/>
                              <w:marTop w:val="0"/>
                              <w:marBottom w:val="0"/>
                              <w:divBdr>
                                <w:top w:val="none" w:sz="0" w:space="0" w:color="auto"/>
                                <w:left w:val="none" w:sz="0" w:space="0" w:color="auto"/>
                                <w:bottom w:val="none" w:sz="0" w:space="0" w:color="auto"/>
                                <w:right w:val="none" w:sz="0" w:space="0" w:color="auto"/>
                              </w:divBdr>
                            </w:div>
                          </w:divsChild>
                        </w:div>
                        <w:div w:id="1250650519">
                          <w:marLeft w:val="0"/>
                          <w:marRight w:val="0"/>
                          <w:marTop w:val="0"/>
                          <w:marBottom w:val="0"/>
                          <w:divBdr>
                            <w:top w:val="none" w:sz="0" w:space="0" w:color="auto"/>
                            <w:left w:val="none" w:sz="0" w:space="0" w:color="auto"/>
                            <w:bottom w:val="none" w:sz="0" w:space="0" w:color="auto"/>
                            <w:right w:val="none" w:sz="0" w:space="0" w:color="auto"/>
                          </w:divBdr>
                          <w:divsChild>
                            <w:div w:id="761529103">
                              <w:marLeft w:val="0"/>
                              <w:marRight w:val="0"/>
                              <w:marTop w:val="0"/>
                              <w:marBottom w:val="0"/>
                              <w:divBdr>
                                <w:top w:val="none" w:sz="0" w:space="0" w:color="auto"/>
                                <w:left w:val="none" w:sz="0" w:space="0" w:color="auto"/>
                                <w:bottom w:val="none" w:sz="0" w:space="0" w:color="auto"/>
                                <w:right w:val="none" w:sz="0" w:space="0" w:color="auto"/>
                              </w:divBdr>
                            </w:div>
                            <w:div w:id="1631547305">
                              <w:marLeft w:val="0"/>
                              <w:marRight w:val="0"/>
                              <w:marTop w:val="0"/>
                              <w:marBottom w:val="0"/>
                              <w:divBdr>
                                <w:top w:val="none" w:sz="0" w:space="0" w:color="auto"/>
                                <w:left w:val="none" w:sz="0" w:space="0" w:color="auto"/>
                                <w:bottom w:val="none" w:sz="0" w:space="0" w:color="auto"/>
                                <w:right w:val="none" w:sz="0" w:space="0" w:color="auto"/>
                              </w:divBdr>
                            </w:div>
                          </w:divsChild>
                        </w:div>
                        <w:div w:id="351542226">
                          <w:marLeft w:val="0"/>
                          <w:marRight w:val="0"/>
                          <w:marTop w:val="0"/>
                          <w:marBottom w:val="0"/>
                          <w:divBdr>
                            <w:top w:val="none" w:sz="0" w:space="0" w:color="auto"/>
                            <w:left w:val="none" w:sz="0" w:space="0" w:color="auto"/>
                            <w:bottom w:val="none" w:sz="0" w:space="0" w:color="auto"/>
                            <w:right w:val="none" w:sz="0" w:space="0" w:color="auto"/>
                          </w:divBdr>
                          <w:divsChild>
                            <w:div w:id="1988121417">
                              <w:marLeft w:val="0"/>
                              <w:marRight w:val="0"/>
                              <w:marTop w:val="0"/>
                              <w:marBottom w:val="0"/>
                              <w:divBdr>
                                <w:top w:val="none" w:sz="0" w:space="0" w:color="auto"/>
                                <w:left w:val="none" w:sz="0" w:space="0" w:color="auto"/>
                                <w:bottom w:val="none" w:sz="0" w:space="0" w:color="auto"/>
                                <w:right w:val="none" w:sz="0" w:space="0" w:color="auto"/>
                              </w:divBdr>
                            </w:div>
                            <w:div w:id="1628974521">
                              <w:marLeft w:val="0"/>
                              <w:marRight w:val="0"/>
                              <w:marTop w:val="0"/>
                              <w:marBottom w:val="0"/>
                              <w:divBdr>
                                <w:top w:val="none" w:sz="0" w:space="0" w:color="auto"/>
                                <w:left w:val="none" w:sz="0" w:space="0" w:color="auto"/>
                                <w:bottom w:val="none" w:sz="0" w:space="0" w:color="auto"/>
                                <w:right w:val="none" w:sz="0" w:space="0" w:color="auto"/>
                              </w:divBdr>
                              <w:divsChild>
                                <w:div w:id="827868437">
                                  <w:marLeft w:val="0"/>
                                  <w:marRight w:val="0"/>
                                  <w:marTop w:val="0"/>
                                  <w:marBottom w:val="0"/>
                                  <w:divBdr>
                                    <w:top w:val="none" w:sz="0" w:space="0" w:color="auto"/>
                                    <w:left w:val="none" w:sz="0" w:space="0" w:color="auto"/>
                                    <w:bottom w:val="none" w:sz="0" w:space="0" w:color="auto"/>
                                    <w:right w:val="none" w:sz="0" w:space="0" w:color="auto"/>
                                  </w:divBdr>
                                </w:div>
                                <w:div w:id="1240360820">
                                  <w:marLeft w:val="0"/>
                                  <w:marRight w:val="0"/>
                                  <w:marTop w:val="0"/>
                                  <w:marBottom w:val="0"/>
                                  <w:divBdr>
                                    <w:top w:val="none" w:sz="0" w:space="0" w:color="auto"/>
                                    <w:left w:val="none" w:sz="0" w:space="0" w:color="auto"/>
                                    <w:bottom w:val="none" w:sz="0" w:space="0" w:color="auto"/>
                                    <w:right w:val="none" w:sz="0" w:space="0" w:color="auto"/>
                                  </w:divBdr>
                                </w:div>
                                <w:div w:id="41709585">
                                  <w:marLeft w:val="0"/>
                                  <w:marRight w:val="0"/>
                                  <w:marTop w:val="0"/>
                                  <w:marBottom w:val="0"/>
                                  <w:divBdr>
                                    <w:top w:val="none" w:sz="0" w:space="0" w:color="auto"/>
                                    <w:left w:val="none" w:sz="0" w:space="0" w:color="auto"/>
                                    <w:bottom w:val="none" w:sz="0" w:space="0" w:color="auto"/>
                                    <w:right w:val="none" w:sz="0" w:space="0" w:color="auto"/>
                                  </w:divBdr>
                                </w:div>
                                <w:div w:id="1733574841">
                                  <w:marLeft w:val="0"/>
                                  <w:marRight w:val="0"/>
                                  <w:marTop w:val="0"/>
                                  <w:marBottom w:val="0"/>
                                  <w:divBdr>
                                    <w:top w:val="none" w:sz="0" w:space="0" w:color="auto"/>
                                    <w:left w:val="none" w:sz="0" w:space="0" w:color="auto"/>
                                    <w:bottom w:val="none" w:sz="0" w:space="0" w:color="auto"/>
                                    <w:right w:val="none" w:sz="0" w:space="0" w:color="auto"/>
                                  </w:divBdr>
                                </w:div>
                                <w:div w:id="354887624">
                                  <w:marLeft w:val="0"/>
                                  <w:marRight w:val="0"/>
                                  <w:marTop w:val="0"/>
                                  <w:marBottom w:val="0"/>
                                  <w:divBdr>
                                    <w:top w:val="none" w:sz="0" w:space="0" w:color="auto"/>
                                    <w:left w:val="none" w:sz="0" w:space="0" w:color="auto"/>
                                    <w:bottom w:val="none" w:sz="0" w:space="0" w:color="auto"/>
                                    <w:right w:val="none" w:sz="0" w:space="0" w:color="auto"/>
                                  </w:divBdr>
                                </w:div>
                                <w:div w:id="958604537">
                                  <w:marLeft w:val="0"/>
                                  <w:marRight w:val="0"/>
                                  <w:marTop w:val="0"/>
                                  <w:marBottom w:val="0"/>
                                  <w:divBdr>
                                    <w:top w:val="none" w:sz="0" w:space="0" w:color="auto"/>
                                    <w:left w:val="none" w:sz="0" w:space="0" w:color="auto"/>
                                    <w:bottom w:val="none" w:sz="0" w:space="0" w:color="auto"/>
                                    <w:right w:val="none" w:sz="0" w:space="0" w:color="auto"/>
                                  </w:divBdr>
                                </w:div>
                                <w:div w:id="2144347564">
                                  <w:marLeft w:val="0"/>
                                  <w:marRight w:val="0"/>
                                  <w:marTop w:val="0"/>
                                  <w:marBottom w:val="0"/>
                                  <w:divBdr>
                                    <w:top w:val="none" w:sz="0" w:space="0" w:color="auto"/>
                                    <w:left w:val="none" w:sz="0" w:space="0" w:color="auto"/>
                                    <w:bottom w:val="none" w:sz="0" w:space="0" w:color="auto"/>
                                    <w:right w:val="none" w:sz="0" w:space="0" w:color="auto"/>
                                  </w:divBdr>
                                </w:div>
                                <w:div w:id="1486433593">
                                  <w:marLeft w:val="0"/>
                                  <w:marRight w:val="0"/>
                                  <w:marTop w:val="0"/>
                                  <w:marBottom w:val="0"/>
                                  <w:divBdr>
                                    <w:top w:val="none" w:sz="0" w:space="0" w:color="auto"/>
                                    <w:left w:val="none" w:sz="0" w:space="0" w:color="auto"/>
                                    <w:bottom w:val="none" w:sz="0" w:space="0" w:color="auto"/>
                                    <w:right w:val="none" w:sz="0" w:space="0" w:color="auto"/>
                                  </w:divBdr>
                                </w:div>
                                <w:div w:id="1716007085">
                                  <w:marLeft w:val="0"/>
                                  <w:marRight w:val="0"/>
                                  <w:marTop w:val="0"/>
                                  <w:marBottom w:val="0"/>
                                  <w:divBdr>
                                    <w:top w:val="none" w:sz="0" w:space="0" w:color="auto"/>
                                    <w:left w:val="none" w:sz="0" w:space="0" w:color="auto"/>
                                    <w:bottom w:val="none" w:sz="0" w:space="0" w:color="auto"/>
                                    <w:right w:val="none" w:sz="0" w:space="0" w:color="auto"/>
                                  </w:divBdr>
                                </w:div>
                                <w:div w:id="2129859719">
                                  <w:marLeft w:val="0"/>
                                  <w:marRight w:val="0"/>
                                  <w:marTop w:val="0"/>
                                  <w:marBottom w:val="0"/>
                                  <w:divBdr>
                                    <w:top w:val="none" w:sz="0" w:space="0" w:color="auto"/>
                                    <w:left w:val="none" w:sz="0" w:space="0" w:color="auto"/>
                                    <w:bottom w:val="none" w:sz="0" w:space="0" w:color="auto"/>
                                    <w:right w:val="none" w:sz="0" w:space="0" w:color="auto"/>
                                  </w:divBdr>
                                </w:div>
                                <w:div w:id="372122540">
                                  <w:marLeft w:val="0"/>
                                  <w:marRight w:val="0"/>
                                  <w:marTop w:val="0"/>
                                  <w:marBottom w:val="0"/>
                                  <w:divBdr>
                                    <w:top w:val="none" w:sz="0" w:space="0" w:color="auto"/>
                                    <w:left w:val="none" w:sz="0" w:space="0" w:color="auto"/>
                                    <w:bottom w:val="none" w:sz="0" w:space="0" w:color="auto"/>
                                    <w:right w:val="none" w:sz="0" w:space="0" w:color="auto"/>
                                  </w:divBdr>
                                </w:div>
                                <w:div w:id="318071780">
                                  <w:marLeft w:val="0"/>
                                  <w:marRight w:val="0"/>
                                  <w:marTop w:val="0"/>
                                  <w:marBottom w:val="0"/>
                                  <w:divBdr>
                                    <w:top w:val="none" w:sz="0" w:space="0" w:color="auto"/>
                                    <w:left w:val="none" w:sz="0" w:space="0" w:color="auto"/>
                                    <w:bottom w:val="none" w:sz="0" w:space="0" w:color="auto"/>
                                    <w:right w:val="none" w:sz="0" w:space="0" w:color="auto"/>
                                  </w:divBdr>
                                </w:div>
                                <w:div w:id="1170407767">
                                  <w:marLeft w:val="0"/>
                                  <w:marRight w:val="0"/>
                                  <w:marTop w:val="0"/>
                                  <w:marBottom w:val="0"/>
                                  <w:divBdr>
                                    <w:top w:val="none" w:sz="0" w:space="0" w:color="auto"/>
                                    <w:left w:val="none" w:sz="0" w:space="0" w:color="auto"/>
                                    <w:bottom w:val="none" w:sz="0" w:space="0" w:color="auto"/>
                                    <w:right w:val="none" w:sz="0" w:space="0" w:color="auto"/>
                                  </w:divBdr>
                                </w:div>
                                <w:div w:id="1801655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38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0031564">
          <w:marLeft w:val="0"/>
          <w:marRight w:val="0"/>
          <w:marTop w:val="0"/>
          <w:marBottom w:val="0"/>
          <w:divBdr>
            <w:top w:val="none" w:sz="0" w:space="0" w:color="auto"/>
            <w:left w:val="none" w:sz="0" w:space="0" w:color="auto"/>
            <w:bottom w:val="none" w:sz="0" w:space="0" w:color="auto"/>
            <w:right w:val="none" w:sz="0" w:space="0" w:color="auto"/>
          </w:divBdr>
          <w:divsChild>
            <w:div w:id="965819064">
              <w:marLeft w:val="0"/>
              <w:marRight w:val="0"/>
              <w:marTop w:val="0"/>
              <w:marBottom w:val="0"/>
              <w:divBdr>
                <w:top w:val="none" w:sz="0" w:space="0" w:color="auto"/>
                <w:left w:val="none" w:sz="0" w:space="0" w:color="auto"/>
                <w:bottom w:val="none" w:sz="0" w:space="0" w:color="auto"/>
                <w:right w:val="none" w:sz="0" w:space="0" w:color="auto"/>
              </w:divBdr>
              <w:divsChild>
                <w:div w:id="894439046">
                  <w:marLeft w:val="0"/>
                  <w:marRight w:val="0"/>
                  <w:marTop w:val="0"/>
                  <w:marBottom w:val="0"/>
                  <w:divBdr>
                    <w:top w:val="none" w:sz="0" w:space="0" w:color="auto"/>
                    <w:left w:val="none" w:sz="0" w:space="0" w:color="auto"/>
                    <w:bottom w:val="none" w:sz="0" w:space="0" w:color="auto"/>
                    <w:right w:val="none" w:sz="0" w:space="0" w:color="auto"/>
                  </w:divBdr>
                </w:div>
              </w:divsChild>
            </w:div>
            <w:div w:id="1624265723">
              <w:marLeft w:val="0"/>
              <w:marRight w:val="0"/>
              <w:marTop w:val="0"/>
              <w:marBottom w:val="0"/>
              <w:divBdr>
                <w:top w:val="none" w:sz="0" w:space="0" w:color="auto"/>
                <w:left w:val="none" w:sz="0" w:space="0" w:color="auto"/>
                <w:bottom w:val="none" w:sz="0" w:space="0" w:color="auto"/>
                <w:right w:val="none" w:sz="0" w:space="0" w:color="auto"/>
              </w:divBdr>
            </w:div>
            <w:div w:id="595286791">
              <w:marLeft w:val="0"/>
              <w:marRight w:val="0"/>
              <w:marTop w:val="0"/>
              <w:marBottom w:val="0"/>
              <w:divBdr>
                <w:top w:val="none" w:sz="0" w:space="0" w:color="auto"/>
                <w:left w:val="none" w:sz="0" w:space="0" w:color="auto"/>
                <w:bottom w:val="none" w:sz="0" w:space="0" w:color="auto"/>
                <w:right w:val="none" w:sz="0" w:space="0" w:color="auto"/>
              </w:divBdr>
              <w:divsChild>
                <w:div w:id="380204775">
                  <w:marLeft w:val="0"/>
                  <w:marRight w:val="0"/>
                  <w:marTop w:val="0"/>
                  <w:marBottom w:val="0"/>
                  <w:divBdr>
                    <w:top w:val="none" w:sz="0" w:space="0" w:color="auto"/>
                    <w:left w:val="none" w:sz="0" w:space="0" w:color="auto"/>
                    <w:bottom w:val="none" w:sz="0" w:space="0" w:color="auto"/>
                    <w:right w:val="none" w:sz="0" w:space="0" w:color="auto"/>
                  </w:divBdr>
                  <w:divsChild>
                    <w:div w:id="271985277">
                      <w:marLeft w:val="0"/>
                      <w:marRight w:val="0"/>
                      <w:marTop w:val="0"/>
                      <w:marBottom w:val="0"/>
                      <w:divBdr>
                        <w:top w:val="none" w:sz="0" w:space="0" w:color="auto"/>
                        <w:left w:val="none" w:sz="0" w:space="0" w:color="auto"/>
                        <w:bottom w:val="none" w:sz="0" w:space="0" w:color="auto"/>
                        <w:right w:val="none" w:sz="0" w:space="0" w:color="auto"/>
                      </w:divBdr>
                      <w:divsChild>
                        <w:div w:id="179254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3008441">
          <w:marLeft w:val="0"/>
          <w:marRight w:val="0"/>
          <w:marTop w:val="0"/>
          <w:marBottom w:val="0"/>
          <w:divBdr>
            <w:top w:val="none" w:sz="0" w:space="0" w:color="auto"/>
            <w:left w:val="none" w:sz="0" w:space="0" w:color="auto"/>
            <w:bottom w:val="none" w:sz="0" w:space="0" w:color="auto"/>
            <w:right w:val="none" w:sz="0" w:space="0" w:color="auto"/>
          </w:divBdr>
          <w:divsChild>
            <w:div w:id="2120054984">
              <w:marLeft w:val="0"/>
              <w:marRight w:val="0"/>
              <w:marTop w:val="0"/>
              <w:marBottom w:val="0"/>
              <w:divBdr>
                <w:top w:val="none" w:sz="0" w:space="0" w:color="auto"/>
                <w:left w:val="none" w:sz="0" w:space="0" w:color="auto"/>
                <w:bottom w:val="none" w:sz="0" w:space="0" w:color="auto"/>
                <w:right w:val="none" w:sz="0" w:space="0" w:color="auto"/>
              </w:divBdr>
              <w:divsChild>
                <w:div w:id="2069185531">
                  <w:marLeft w:val="0"/>
                  <w:marRight w:val="0"/>
                  <w:marTop w:val="0"/>
                  <w:marBottom w:val="0"/>
                  <w:divBdr>
                    <w:top w:val="none" w:sz="0" w:space="0" w:color="auto"/>
                    <w:left w:val="none" w:sz="0" w:space="0" w:color="auto"/>
                    <w:bottom w:val="none" w:sz="0" w:space="0" w:color="auto"/>
                    <w:right w:val="none" w:sz="0" w:space="0" w:color="auto"/>
                  </w:divBdr>
                  <w:divsChild>
                    <w:div w:id="785926212">
                      <w:marLeft w:val="0"/>
                      <w:marRight w:val="0"/>
                      <w:marTop w:val="0"/>
                      <w:marBottom w:val="0"/>
                      <w:divBdr>
                        <w:top w:val="none" w:sz="0" w:space="0" w:color="auto"/>
                        <w:left w:val="none" w:sz="0" w:space="0" w:color="auto"/>
                        <w:bottom w:val="none" w:sz="0" w:space="0" w:color="auto"/>
                        <w:right w:val="none" w:sz="0" w:space="0" w:color="auto"/>
                      </w:divBdr>
                      <w:divsChild>
                        <w:div w:id="845051324">
                          <w:marLeft w:val="0"/>
                          <w:marRight w:val="0"/>
                          <w:marTop w:val="0"/>
                          <w:marBottom w:val="0"/>
                          <w:divBdr>
                            <w:top w:val="none" w:sz="0" w:space="0" w:color="auto"/>
                            <w:left w:val="none" w:sz="0" w:space="0" w:color="auto"/>
                            <w:bottom w:val="none" w:sz="0" w:space="0" w:color="auto"/>
                            <w:right w:val="none" w:sz="0" w:space="0" w:color="auto"/>
                          </w:divBdr>
                          <w:divsChild>
                            <w:div w:id="547693812">
                              <w:marLeft w:val="0"/>
                              <w:marRight w:val="0"/>
                              <w:marTop w:val="0"/>
                              <w:marBottom w:val="0"/>
                              <w:divBdr>
                                <w:top w:val="none" w:sz="0" w:space="0" w:color="auto"/>
                                <w:left w:val="none" w:sz="0" w:space="0" w:color="auto"/>
                                <w:bottom w:val="none" w:sz="0" w:space="0" w:color="auto"/>
                                <w:right w:val="none" w:sz="0" w:space="0" w:color="auto"/>
                              </w:divBdr>
                              <w:divsChild>
                                <w:div w:id="563682697">
                                  <w:marLeft w:val="0"/>
                                  <w:marRight w:val="0"/>
                                  <w:marTop w:val="0"/>
                                  <w:marBottom w:val="0"/>
                                  <w:divBdr>
                                    <w:top w:val="none" w:sz="0" w:space="0" w:color="auto"/>
                                    <w:left w:val="none" w:sz="0" w:space="0" w:color="auto"/>
                                    <w:bottom w:val="none" w:sz="0" w:space="0" w:color="auto"/>
                                    <w:right w:val="none" w:sz="0" w:space="0" w:color="auto"/>
                                  </w:divBdr>
                                  <w:divsChild>
                                    <w:div w:id="877276394">
                                      <w:marLeft w:val="0"/>
                                      <w:marRight w:val="0"/>
                                      <w:marTop w:val="0"/>
                                      <w:marBottom w:val="0"/>
                                      <w:divBdr>
                                        <w:top w:val="none" w:sz="0" w:space="0" w:color="auto"/>
                                        <w:left w:val="none" w:sz="0" w:space="0" w:color="auto"/>
                                        <w:bottom w:val="none" w:sz="0" w:space="0" w:color="auto"/>
                                        <w:right w:val="none" w:sz="0" w:space="0" w:color="auto"/>
                                      </w:divBdr>
                                      <w:divsChild>
                                        <w:div w:id="310722289">
                                          <w:marLeft w:val="0"/>
                                          <w:marRight w:val="0"/>
                                          <w:marTop w:val="0"/>
                                          <w:marBottom w:val="0"/>
                                          <w:divBdr>
                                            <w:top w:val="none" w:sz="0" w:space="0" w:color="auto"/>
                                            <w:left w:val="none" w:sz="0" w:space="0" w:color="auto"/>
                                            <w:bottom w:val="none" w:sz="0" w:space="0" w:color="auto"/>
                                            <w:right w:val="none" w:sz="0" w:space="0" w:color="auto"/>
                                          </w:divBdr>
                                          <w:divsChild>
                                            <w:div w:id="805049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079456">
                          <w:marLeft w:val="0"/>
                          <w:marRight w:val="0"/>
                          <w:marTop w:val="0"/>
                          <w:marBottom w:val="0"/>
                          <w:divBdr>
                            <w:top w:val="none" w:sz="0" w:space="0" w:color="auto"/>
                            <w:left w:val="none" w:sz="0" w:space="0" w:color="auto"/>
                            <w:bottom w:val="none" w:sz="0" w:space="0" w:color="auto"/>
                            <w:right w:val="none" w:sz="0" w:space="0" w:color="auto"/>
                          </w:divBdr>
                          <w:divsChild>
                            <w:div w:id="2039232890">
                              <w:marLeft w:val="0"/>
                              <w:marRight w:val="0"/>
                              <w:marTop w:val="0"/>
                              <w:marBottom w:val="0"/>
                              <w:divBdr>
                                <w:top w:val="none" w:sz="0" w:space="0" w:color="auto"/>
                                <w:left w:val="none" w:sz="0" w:space="0" w:color="auto"/>
                                <w:bottom w:val="none" w:sz="0" w:space="0" w:color="auto"/>
                                <w:right w:val="none" w:sz="0" w:space="0" w:color="auto"/>
                              </w:divBdr>
                              <w:divsChild>
                                <w:div w:id="1641105389">
                                  <w:marLeft w:val="0"/>
                                  <w:marRight w:val="0"/>
                                  <w:marTop w:val="0"/>
                                  <w:marBottom w:val="0"/>
                                  <w:divBdr>
                                    <w:top w:val="none" w:sz="0" w:space="0" w:color="auto"/>
                                    <w:left w:val="none" w:sz="0" w:space="0" w:color="auto"/>
                                    <w:bottom w:val="none" w:sz="0" w:space="0" w:color="auto"/>
                                    <w:right w:val="none" w:sz="0" w:space="0" w:color="auto"/>
                                  </w:divBdr>
                                </w:div>
                              </w:divsChild>
                            </w:div>
                            <w:div w:id="193201101">
                              <w:marLeft w:val="0"/>
                              <w:marRight w:val="0"/>
                              <w:marTop w:val="0"/>
                              <w:marBottom w:val="0"/>
                              <w:divBdr>
                                <w:top w:val="none" w:sz="0" w:space="0" w:color="auto"/>
                                <w:left w:val="none" w:sz="0" w:space="0" w:color="auto"/>
                                <w:bottom w:val="none" w:sz="0" w:space="0" w:color="auto"/>
                                <w:right w:val="none" w:sz="0" w:space="0" w:color="auto"/>
                              </w:divBdr>
                              <w:divsChild>
                                <w:div w:id="1071851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7876103">
                          <w:marLeft w:val="0"/>
                          <w:marRight w:val="0"/>
                          <w:marTop w:val="0"/>
                          <w:marBottom w:val="0"/>
                          <w:divBdr>
                            <w:top w:val="none" w:sz="0" w:space="0" w:color="auto"/>
                            <w:left w:val="none" w:sz="0" w:space="0" w:color="auto"/>
                            <w:bottom w:val="none" w:sz="0" w:space="0" w:color="auto"/>
                            <w:right w:val="none" w:sz="0" w:space="0" w:color="auto"/>
                          </w:divBdr>
                          <w:divsChild>
                            <w:div w:id="1868789711">
                              <w:marLeft w:val="0"/>
                              <w:marRight w:val="0"/>
                              <w:marTop w:val="0"/>
                              <w:marBottom w:val="0"/>
                              <w:divBdr>
                                <w:top w:val="none" w:sz="0" w:space="0" w:color="auto"/>
                                <w:left w:val="none" w:sz="0" w:space="0" w:color="auto"/>
                                <w:bottom w:val="none" w:sz="0" w:space="0" w:color="auto"/>
                                <w:right w:val="none" w:sz="0" w:space="0" w:color="auto"/>
                              </w:divBdr>
                              <w:divsChild>
                                <w:div w:id="1304701531">
                                  <w:marLeft w:val="0"/>
                                  <w:marRight w:val="0"/>
                                  <w:marTop w:val="0"/>
                                  <w:marBottom w:val="0"/>
                                  <w:divBdr>
                                    <w:top w:val="none" w:sz="0" w:space="0" w:color="auto"/>
                                    <w:left w:val="none" w:sz="0" w:space="0" w:color="auto"/>
                                    <w:bottom w:val="none" w:sz="0" w:space="0" w:color="auto"/>
                                    <w:right w:val="none" w:sz="0" w:space="0" w:color="auto"/>
                                  </w:divBdr>
                                </w:div>
                              </w:divsChild>
                            </w:div>
                            <w:div w:id="773011413">
                              <w:marLeft w:val="0"/>
                              <w:marRight w:val="0"/>
                              <w:marTop w:val="0"/>
                              <w:marBottom w:val="0"/>
                              <w:divBdr>
                                <w:top w:val="none" w:sz="0" w:space="0" w:color="auto"/>
                                <w:left w:val="none" w:sz="0" w:space="0" w:color="auto"/>
                                <w:bottom w:val="none" w:sz="0" w:space="0" w:color="auto"/>
                                <w:right w:val="none" w:sz="0" w:space="0" w:color="auto"/>
                              </w:divBdr>
                              <w:divsChild>
                                <w:div w:id="197736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148153">
                          <w:marLeft w:val="0"/>
                          <w:marRight w:val="0"/>
                          <w:marTop w:val="0"/>
                          <w:marBottom w:val="0"/>
                          <w:divBdr>
                            <w:top w:val="none" w:sz="0" w:space="0" w:color="auto"/>
                            <w:left w:val="none" w:sz="0" w:space="0" w:color="auto"/>
                            <w:bottom w:val="none" w:sz="0" w:space="0" w:color="auto"/>
                            <w:right w:val="none" w:sz="0" w:space="0" w:color="auto"/>
                          </w:divBdr>
                          <w:divsChild>
                            <w:div w:id="193809687">
                              <w:marLeft w:val="0"/>
                              <w:marRight w:val="0"/>
                              <w:marTop w:val="0"/>
                              <w:marBottom w:val="0"/>
                              <w:divBdr>
                                <w:top w:val="none" w:sz="0" w:space="0" w:color="auto"/>
                                <w:left w:val="none" w:sz="0" w:space="0" w:color="auto"/>
                                <w:bottom w:val="none" w:sz="0" w:space="0" w:color="auto"/>
                                <w:right w:val="none" w:sz="0" w:space="0" w:color="auto"/>
                              </w:divBdr>
                              <w:divsChild>
                                <w:div w:id="507645863">
                                  <w:marLeft w:val="0"/>
                                  <w:marRight w:val="0"/>
                                  <w:marTop w:val="0"/>
                                  <w:marBottom w:val="0"/>
                                  <w:divBdr>
                                    <w:top w:val="none" w:sz="0" w:space="0" w:color="auto"/>
                                    <w:left w:val="none" w:sz="0" w:space="0" w:color="auto"/>
                                    <w:bottom w:val="none" w:sz="0" w:space="0" w:color="auto"/>
                                    <w:right w:val="none" w:sz="0" w:space="0" w:color="auto"/>
                                  </w:divBdr>
                                </w:div>
                              </w:divsChild>
                            </w:div>
                            <w:div w:id="1173377656">
                              <w:marLeft w:val="0"/>
                              <w:marRight w:val="0"/>
                              <w:marTop w:val="0"/>
                              <w:marBottom w:val="0"/>
                              <w:divBdr>
                                <w:top w:val="none" w:sz="0" w:space="0" w:color="auto"/>
                                <w:left w:val="none" w:sz="0" w:space="0" w:color="auto"/>
                                <w:bottom w:val="none" w:sz="0" w:space="0" w:color="auto"/>
                                <w:right w:val="none" w:sz="0" w:space="0" w:color="auto"/>
                              </w:divBdr>
                              <w:divsChild>
                                <w:div w:id="1364593883">
                                  <w:marLeft w:val="0"/>
                                  <w:marRight w:val="0"/>
                                  <w:marTop w:val="0"/>
                                  <w:marBottom w:val="0"/>
                                  <w:divBdr>
                                    <w:top w:val="none" w:sz="0" w:space="0" w:color="auto"/>
                                    <w:left w:val="none" w:sz="0" w:space="0" w:color="auto"/>
                                    <w:bottom w:val="none" w:sz="0" w:space="0" w:color="auto"/>
                                    <w:right w:val="none" w:sz="0" w:space="0" w:color="auto"/>
                                  </w:divBdr>
                                  <w:divsChild>
                                    <w:div w:id="1496413124">
                                      <w:marLeft w:val="0"/>
                                      <w:marRight w:val="0"/>
                                      <w:marTop w:val="0"/>
                                      <w:marBottom w:val="0"/>
                                      <w:divBdr>
                                        <w:top w:val="none" w:sz="0" w:space="0" w:color="auto"/>
                                        <w:left w:val="none" w:sz="0" w:space="0" w:color="auto"/>
                                        <w:bottom w:val="none" w:sz="0" w:space="0" w:color="auto"/>
                                        <w:right w:val="none" w:sz="0" w:space="0" w:color="auto"/>
                                      </w:divBdr>
                                      <w:divsChild>
                                        <w:div w:id="9189112">
                                          <w:marLeft w:val="0"/>
                                          <w:marRight w:val="0"/>
                                          <w:marTop w:val="0"/>
                                          <w:marBottom w:val="0"/>
                                          <w:divBdr>
                                            <w:top w:val="none" w:sz="0" w:space="0" w:color="auto"/>
                                            <w:left w:val="none" w:sz="0" w:space="0" w:color="auto"/>
                                            <w:bottom w:val="none" w:sz="0" w:space="0" w:color="auto"/>
                                            <w:right w:val="none" w:sz="0" w:space="0" w:color="auto"/>
                                          </w:divBdr>
                                        </w:div>
                                        <w:div w:id="1224289802">
                                          <w:marLeft w:val="0"/>
                                          <w:marRight w:val="0"/>
                                          <w:marTop w:val="0"/>
                                          <w:marBottom w:val="0"/>
                                          <w:divBdr>
                                            <w:top w:val="none" w:sz="0" w:space="0" w:color="auto"/>
                                            <w:left w:val="none" w:sz="0" w:space="0" w:color="auto"/>
                                            <w:bottom w:val="none" w:sz="0" w:space="0" w:color="auto"/>
                                            <w:right w:val="none" w:sz="0" w:space="0" w:color="auto"/>
                                          </w:divBdr>
                                          <w:divsChild>
                                            <w:div w:id="13406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3755786">
          <w:marLeft w:val="0"/>
          <w:marRight w:val="0"/>
          <w:marTop w:val="0"/>
          <w:marBottom w:val="0"/>
          <w:divBdr>
            <w:top w:val="none" w:sz="0" w:space="0" w:color="auto"/>
            <w:left w:val="none" w:sz="0" w:space="0" w:color="auto"/>
            <w:bottom w:val="none" w:sz="0" w:space="0" w:color="auto"/>
            <w:right w:val="none" w:sz="0" w:space="0" w:color="auto"/>
          </w:divBdr>
          <w:divsChild>
            <w:div w:id="214172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mc/articles/PMC1891640/" TargetMode="External"/><Relationship Id="rId18" Type="http://schemas.openxmlformats.org/officeDocument/2006/relationships/hyperlink" Target="https://www.ncbi.nlm.nih.gov/pmc/articles/PMC1891640/table/Tab1/" TargetMode="External"/><Relationship Id="rId26" Type="http://schemas.openxmlformats.org/officeDocument/2006/relationships/hyperlink" Target="https://www.ncbi.nlm.nih.gov/pmc/articles/PMC1891640/table/Tab4/" TargetMode="External"/><Relationship Id="rId39" Type="http://schemas.openxmlformats.org/officeDocument/2006/relationships/hyperlink" Target="https://www.ncbi.nlm.nih.gov/pmc/articles/PMC1891640/table/Tab6/" TargetMode="External"/><Relationship Id="rId21" Type="http://schemas.openxmlformats.org/officeDocument/2006/relationships/hyperlink" Target="https://www.ncbi.nlm.nih.gov/pmc/articles/PMC1891640/table/Tab3/" TargetMode="External"/><Relationship Id="rId34" Type="http://schemas.openxmlformats.org/officeDocument/2006/relationships/hyperlink" Target="https://www.ncbi.nlm.nih.gov/pmc/articles/PMC1891640/" TargetMode="External"/><Relationship Id="rId42" Type="http://schemas.openxmlformats.org/officeDocument/2006/relationships/hyperlink" Target="https://www.ncbi.nlm.nih.gov/pmc/articles/PMC1891640/" TargetMode="External"/><Relationship Id="rId47" Type="http://schemas.openxmlformats.org/officeDocument/2006/relationships/hyperlink" Target="https://www.ncbi.nlm.nih.gov/pmc/articles/PMC1891640/pdf/11524_2007_Article_9167.pdf" TargetMode="External"/><Relationship Id="rId50" Type="http://schemas.openxmlformats.org/officeDocument/2006/relationships/image" Target="media/image2.png"/><Relationship Id="rId55" Type="http://schemas.openxmlformats.org/officeDocument/2006/relationships/hyperlink" Target="https://www.ncbi.nlm.nih.gov/pubmed/12293661" TargetMode="External"/><Relationship Id="rId63" Type="http://schemas.openxmlformats.org/officeDocument/2006/relationships/hyperlink" Target="https://www.ncbi.nlm.nih.gov/pmc/?Db=taxonomy&amp;DbFrom=pmc&amp;Cmd=Link&amp;LinkName=pmc_taxonomy&amp;IdsFromResult=1891640" TargetMode="External"/><Relationship Id="rId68" Type="http://schemas.openxmlformats.org/officeDocument/2006/relationships/hyperlink" Target="https://support.ncbi.nlm.nih.gov/ics/support/KBList.asp?Time=2018-11-29T03:54:54-05:00&amp;Snapshot=%2Fprojects%2FPMC%2FPMCViewer@4.46&amp;Host=ptpmc202&amp;ncbi_phid=F4FC253BBFFA9091000000000052004A&amp;ncbi_session=F4FC253BBFFA95E1_0082SID&amp;from=https%3A%2F%2Fwww.ncbi.nlm.nih.gov%2Fpmc%2Farticles%2FPMC1891640%2F&amp;Db=pmc&amp;folderID=132&amp;Ncbi_App=pmc&amp;Page=literature&amp;style=classic&amp;deptID=28049" TargetMode="External"/><Relationship Id="rId7" Type="http://schemas.openxmlformats.org/officeDocument/2006/relationships/image" Target="media/image1.gif"/><Relationship Id="rId2" Type="http://schemas.openxmlformats.org/officeDocument/2006/relationships/styles" Target="styles.xml"/><Relationship Id="rId16" Type="http://schemas.openxmlformats.org/officeDocument/2006/relationships/hyperlink" Target="https://www.ncbi.nlm.nih.gov/pmc/articles/PMC1891640/" TargetMode="External"/><Relationship Id="rId29" Type="http://schemas.openxmlformats.org/officeDocument/2006/relationships/hyperlink" Target="https://www.ncbi.nlm.nih.gov/pmc/articles/PMC1891640/table/Tab5/" TargetMode="External"/><Relationship Id="rId1" Type="http://schemas.openxmlformats.org/officeDocument/2006/relationships/numbering" Target="numbering.xml"/><Relationship Id="rId6" Type="http://schemas.openxmlformats.org/officeDocument/2006/relationships/hyperlink" Target="https://www.ncbi.nlm.nih.gov/pubmed/?term=Ooi%20GL%5BAuthor%5D&amp;cauthor=true&amp;cauthor_uid=17387618" TargetMode="External"/><Relationship Id="rId11" Type="http://schemas.openxmlformats.org/officeDocument/2006/relationships/hyperlink" Target="https://www.ncbi.nlm.nih.gov/pmc/about/disclaimer/" TargetMode="External"/><Relationship Id="rId24" Type="http://schemas.openxmlformats.org/officeDocument/2006/relationships/hyperlink" Target="https://www.ncbi.nlm.nih.gov/pmc/articles/PMC1891640/" TargetMode="External"/><Relationship Id="rId32" Type="http://schemas.openxmlformats.org/officeDocument/2006/relationships/hyperlink" Target="https://www.ncbi.nlm.nih.gov/pmc/articles/PMC1891640/" TargetMode="External"/><Relationship Id="rId37" Type="http://schemas.openxmlformats.org/officeDocument/2006/relationships/hyperlink" Target="https://www.ncbi.nlm.nih.gov/pmc/articles/PMC1891640/" TargetMode="External"/><Relationship Id="rId40" Type="http://schemas.openxmlformats.org/officeDocument/2006/relationships/hyperlink" Target="https://www.ncbi.nlm.nih.gov/pmc/articles/PMC1891640/" TargetMode="External"/><Relationship Id="rId45" Type="http://schemas.openxmlformats.org/officeDocument/2006/relationships/hyperlink" Target="https://www.ncbi.nlm.nih.gov/pmc/articles/PMC1891640/?report=reader" TargetMode="External"/><Relationship Id="rId53" Type="http://schemas.openxmlformats.org/officeDocument/2006/relationships/hyperlink" Target="https://plus.google.com/share?url=https%3A%2F%2Fwww.ncbi.nlm.nih.gov%2Fpmc%2Farticles%2FPMC1891640%2F" TargetMode="External"/><Relationship Id="rId58" Type="http://schemas.openxmlformats.org/officeDocument/2006/relationships/hyperlink" Target="https://www.ncbi.nlm.nih.gov/pubmed/14728793" TargetMode="External"/><Relationship Id="rId66" Type="http://schemas.openxmlformats.org/officeDocument/2006/relationships/hyperlink" Target="https://www.ncbi.nlm.nih.gov/sites/myncbi/recentactivity" TargetMode="External"/><Relationship Id="rId5" Type="http://schemas.openxmlformats.org/officeDocument/2006/relationships/webSettings" Target="webSettings.xml"/><Relationship Id="rId15" Type="http://schemas.openxmlformats.org/officeDocument/2006/relationships/hyperlink" Target="https://www.ncbi.nlm.nih.gov/pmc/articles/PMC1891640/" TargetMode="External"/><Relationship Id="rId23" Type="http://schemas.openxmlformats.org/officeDocument/2006/relationships/hyperlink" Target="https://www.ncbi.nlm.nih.gov/pmc/articles/PMC1891640/" TargetMode="External"/><Relationship Id="rId28" Type="http://schemas.openxmlformats.org/officeDocument/2006/relationships/hyperlink" Target="https://www.ncbi.nlm.nih.gov/pmc/articles/PMC1891640/table/Tab4/?report=objectonly" TargetMode="External"/><Relationship Id="rId36" Type="http://schemas.openxmlformats.org/officeDocument/2006/relationships/hyperlink" Target="https://www.ncbi.nlm.nih.gov/pmc/articles/PMC1891640/" TargetMode="External"/><Relationship Id="rId49" Type="http://schemas.openxmlformats.org/officeDocument/2006/relationships/hyperlink" Target="https://www.facebook.com/sharer/sharer.php?u=https%3A%2F%2Fwww.ncbi.nlm.nih.gov%2Fpmc%2Farticles%2FPMC1891640%2F" TargetMode="External"/><Relationship Id="rId57" Type="http://schemas.openxmlformats.org/officeDocument/2006/relationships/hyperlink" Target="https://www.ncbi.nlm.nih.gov/pubmed/12347824" TargetMode="External"/><Relationship Id="rId61" Type="http://schemas.openxmlformats.org/officeDocument/2006/relationships/hyperlink" Target="https://www.ncbi.nlm.nih.gov/sites/entrez?db=pubmed&amp;cmd=link&amp;linkname=pubmed_pubmed&amp;uid=17387618&amp;log%24=relatedarticles&amp;logdbfrom=pmc" TargetMode="External"/><Relationship Id="rId10" Type="http://schemas.openxmlformats.org/officeDocument/2006/relationships/hyperlink" Target="https://www.ncbi.nlm.nih.gov/pmc/articles/PMC1891640/" TargetMode="External"/><Relationship Id="rId19" Type="http://schemas.openxmlformats.org/officeDocument/2006/relationships/hyperlink" Target="https://www.ncbi.nlm.nih.gov/pmc/articles/PMC1891640/table/Tab2/" TargetMode="External"/><Relationship Id="rId31" Type="http://schemas.openxmlformats.org/officeDocument/2006/relationships/hyperlink" Target="https://www.ncbi.nlm.nih.gov/pmc/articles/PMC1891640/" TargetMode="External"/><Relationship Id="rId44" Type="http://schemas.openxmlformats.org/officeDocument/2006/relationships/hyperlink" Target="http://www.prb.org" TargetMode="External"/><Relationship Id="rId52" Type="http://schemas.openxmlformats.org/officeDocument/2006/relationships/image" Target="media/image3.png"/><Relationship Id="rId60" Type="http://schemas.openxmlformats.org/officeDocument/2006/relationships/hyperlink" Target="https://www.ncbi.nlm.nih.gov/sites/entrez?db=pubmed&amp;cmd=link&amp;linkname=pubmed_pubmed_reviews&amp;uid=17387618&amp;log%24=relatedreviews&amp;logdbfrom=pmc" TargetMode="External"/><Relationship Id="rId65" Type="http://schemas.openxmlformats.org/officeDocument/2006/relationships/hyperlink" Target="https://www.ncbi.nlm.nih.gov/portal/utils/pageresolver.fcgi?recordid=5bffa95edd214283d4196852" TargetMode="External"/><Relationship Id="rId4" Type="http://schemas.openxmlformats.org/officeDocument/2006/relationships/settings" Target="settings.xml"/><Relationship Id="rId9" Type="http://schemas.openxmlformats.org/officeDocument/2006/relationships/hyperlink" Target="https://www.ncbi.nlm.nih.gov/pmc/articles/PMC1891640/" TargetMode="External"/><Relationship Id="rId14" Type="http://schemas.openxmlformats.org/officeDocument/2006/relationships/hyperlink" Target="https://www.ncbi.nlm.nih.gov/pmc/articles/PMC1891640/" TargetMode="External"/><Relationship Id="rId22" Type="http://schemas.openxmlformats.org/officeDocument/2006/relationships/hyperlink" Target="https://www.ncbi.nlm.nih.gov/pmc/articles/PMC1891640/" TargetMode="External"/><Relationship Id="rId27" Type="http://schemas.openxmlformats.org/officeDocument/2006/relationships/hyperlink" Target="https://www.ncbi.nlm.nih.gov/pmc/articles/PMC1891640/table/Tab4/" TargetMode="External"/><Relationship Id="rId30" Type="http://schemas.openxmlformats.org/officeDocument/2006/relationships/hyperlink" Target="https://www.ncbi.nlm.nih.gov/pmc/articles/PMC1891640/" TargetMode="External"/><Relationship Id="rId35" Type="http://schemas.openxmlformats.org/officeDocument/2006/relationships/hyperlink" Target="https://www.ncbi.nlm.nih.gov/pmc/articles/PMC1891640/" TargetMode="External"/><Relationship Id="rId43" Type="http://schemas.openxmlformats.org/officeDocument/2006/relationships/hyperlink" Target="http://www.prb.org" TargetMode="External"/><Relationship Id="rId48" Type="http://schemas.openxmlformats.org/officeDocument/2006/relationships/hyperlink" Target="https://www.ncbi.nlm.nih.gov/pmc/articles/PMC1891640/" TargetMode="External"/><Relationship Id="rId56" Type="http://schemas.openxmlformats.org/officeDocument/2006/relationships/hyperlink" Target="https://www.ncbi.nlm.nih.gov/pubmed/17954669" TargetMode="External"/><Relationship Id="rId64" Type="http://schemas.openxmlformats.org/officeDocument/2006/relationships/hyperlink" Target="javascript:historyDisplayState('HTOff')" TargetMode="External"/><Relationship Id="rId69" Type="http://schemas.openxmlformats.org/officeDocument/2006/relationships/fontTable" Target="fontTable.xml"/><Relationship Id="rId8" Type="http://schemas.openxmlformats.org/officeDocument/2006/relationships/hyperlink" Target="https://www.ncbi.nlm.nih.gov/pubmed/?term=Phua%20KH%5BAuthor%5D&amp;cauthor=true&amp;cauthor_uid=17387618" TargetMode="External"/><Relationship Id="rId51" Type="http://schemas.openxmlformats.org/officeDocument/2006/relationships/hyperlink" Target="https://twitter.com/intent/tweet?url=https%3A%2F%2Fwww.ncbi.nlm.nih.gov%2Fpmc%2Farticles%2FPMC1891640%2F&amp;text=Urbanization%20and%20Slum%20Formation" TargetMode="External"/><Relationship Id="rId3" Type="http://schemas.microsoft.com/office/2007/relationships/stylesWithEffects" Target="stylesWithEffects.xml"/><Relationship Id="rId12" Type="http://schemas.openxmlformats.org/officeDocument/2006/relationships/hyperlink" Target="https://www.ncbi.nlm.nih.gov/pmc/articles/PMC1891640/citedby/" TargetMode="External"/><Relationship Id="rId17" Type="http://schemas.openxmlformats.org/officeDocument/2006/relationships/hyperlink" Target="https://www.ncbi.nlm.nih.gov/pmc/articles/PMC1891640/" TargetMode="External"/><Relationship Id="rId25" Type="http://schemas.openxmlformats.org/officeDocument/2006/relationships/hyperlink" Target="https://www.ncbi.nlm.nih.gov/pmc/articles/PMC1891640/" TargetMode="External"/><Relationship Id="rId33" Type="http://schemas.openxmlformats.org/officeDocument/2006/relationships/hyperlink" Target="https://www.ncbi.nlm.nih.gov/pmc/articles/PMC1891640/" TargetMode="External"/><Relationship Id="rId38" Type="http://schemas.openxmlformats.org/officeDocument/2006/relationships/hyperlink" Target="https://www.ncbi.nlm.nih.gov/pmc/articles/PMC1891640/" TargetMode="External"/><Relationship Id="rId46" Type="http://schemas.openxmlformats.org/officeDocument/2006/relationships/hyperlink" Target="https://www.ncbi.nlm.nih.gov/pmc/articles/PMC1891640/epub/" TargetMode="External"/><Relationship Id="rId59" Type="http://schemas.openxmlformats.org/officeDocument/2006/relationships/hyperlink" Target="https://www.ncbi.nlm.nih.gov/pubmed/16899152" TargetMode="External"/><Relationship Id="rId67" Type="http://schemas.openxmlformats.org/officeDocument/2006/relationships/hyperlink" Target="https://www.ncbi.nlm.nih.gov/pmc/articles/PMC1891640/" TargetMode="External"/><Relationship Id="rId20" Type="http://schemas.openxmlformats.org/officeDocument/2006/relationships/hyperlink" Target="https://www.ncbi.nlm.nih.gov/pmc/articles/PMC1891640/table/Tab2/" TargetMode="External"/><Relationship Id="rId41" Type="http://schemas.openxmlformats.org/officeDocument/2006/relationships/hyperlink" Target="https://www.ncbi.nlm.nih.gov/pmc/articles/PMC1891640/" TargetMode="External"/><Relationship Id="rId54" Type="http://schemas.openxmlformats.org/officeDocument/2006/relationships/image" Target="media/image4.png"/><Relationship Id="rId62" Type="http://schemas.openxmlformats.org/officeDocument/2006/relationships/hyperlink" Target="https://www.ncbi.nlm.nih.gov/pubmed/17387618/" TargetMode="External"/><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4510</Words>
  <Characters>25712</Characters>
  <Application>Microsoft Office Word</Application>
  <DocSecurity>0</DocSecurity>
  <Lines>214</Lines>
  <Paragraphs>60</Paragraphs>
  <ScaleCrop>false</ScaleCrop>
  <Company/>
  <LinksUpToDate>false</LinksUpToDate>
  <CharactersWithSpaces>30162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AG2</dc:creator>
  <cp:keywords/>
  <dc:description/>
  <cp:lastModifiedBy>AG2</cp:lastModifiedBy>
  <cp:revision>2</cp:revision>
  <dcterms:created xsi:type="dcterms:W3CDTF">2018-11-29T08:57:00Z</dcterms:created>
  <dcterms:modified xsi:type="dcterms:W3CDTF">2018-11-29T08:57:00Z</dcterms:modified>
</cp:coreProperties>
</file>